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0628" w14:textId="77777777" w:rsidR="008D5BD0" w:rsidRPr="00EF49D2" w:rsidRDefault="008D5BD0">
      <w:pPr>
        <w:rPr>
          <w:rFonts w:ascii="Arial" w:hAnsi="Arial" w:cs="Arial"/>
        </w:rPr>
      </w:pPr>
    </w:p>
    <w:p w14:paraId="14D5C6B4" w14:textId="77777777" w:rsidR="00EF49D2" w:rsidRPr="00EF49D2" w:rsidRDefault="00EF49D2">
      <w:pPr>
        <w:rPr>
          <w:rFonts w:ascii="Arial" w:hAnsi="Arial" w:cs="Arial"/>
        </w:rPr>
      </w:pPr>
    </w:p>
    <w:p w14:paraId="58059CEE" w14:textId="77777777" w:rsidR="00EF49D2" w:rsidRPr="00EF49D2" w:rsidRDefault="00EF49D2">
      <w:pPr>
        <w:rPr>
          <w:rFonts w:ascii="Arial" w:hAnsi="Arial" w:cs="Arial"/>
        </w:rPr>
      </w:pPr>
    </w:p>
    <w:p w14:paraId="531A94B2" w14:textId="77777777" w:rsidR="00EF49D2" w:rsidRPr="00EF49D2" w:rsidRDefault="00EF49D2">
      <w:pPr>
        <w:rPr>
          <w:rFonts w:ascii="Arial" w:hAnsi="Arial" w:cs="Arial"/>
        </w:rPr>
      </w:pPr>
    </w:p>
    <w:p w14:paraId="246D66EA" w14:textId="77777777" w:rsidR="00EF49D2" w:rsidRPr="00EF49D2" w:rsidRDefault="00EF49D2">
      <w:pPr>
        <w:rPr>
          <w:rFonts w:ascii="Arial" w:hAnsi="Arial" w:cs="Arial"/>
        </w:rPr>
      </w:pPr>
    </w:p>
    <w:p w14:paraId="0B1AECD8" w14:textId="77777777" w:rsidR="00EF49D2" w:rsidRPr="00EF49D2" w:rsidRDefault="00EF49D2">
      <w:pPr>
        <w:rPr>
          <w:rFonts w:ascii="Arial" w:hAnsi="Arial" w:cs="Arial"/>
        </w:rPr>
      </w:pPr>
    </w:p>
    <w:p w14:paraId="561C9E1B" w14:textId="77777777" w:rsidR="00EF49D2" w:rsidRPr="00EF49D2" w:rsidRDefault="00EF49D2">
      <w:pPr>
        <w:rPr>
          <w:rFonts w:ascii="Arial" w:hAnsi="Arial" w:cs="Arial"/>
        </w:rPr>
      </w:pPr>
    </w:p>
    <w:p w14:paraId="10B2B8FF" w14:textId="68498DFA" w:rsidR="00EF49D2" w:rsidRPr="00EF49D2" w:rsidRDefault="00A253F5" w:rsidP="00EF49D2">
      <w:pPr>
        <w:jc w:val="right"/>
        <w:rPr>
          <w:rFonts w:ascii="Arial" w:hAnsi="Arial" w:cs="Arial"/>
        </w:rPr>
      </w:pPr>
      <w:r>
        <w:rPr>
          <w:rFonts w:ascii="Arial" w:hAnsi="Arial" w:cs="Arial"/>
        </w:rPr>
        <w:t>05</w:t>
      </w:r>
      <w:r w:rsidR="00975991">
        <w:rPr>
          <w:rFonts w:ascii="Arial" w:hAnsi="Arial" w:cs="Arial"/>
        </w:rPr>
        <w:t>.0</w:t>
      </w:r>
      <w:r w:rsidR="00E7173E">
        <w:rPr>
          <w:rFonts w:ascii="Arial" w:hAnsi="Arial" w:cs="Arial"/>
        </w:rPr>
        <w:t>8</w:t>
      </w:r>
      <w:r w:rsidR="00975991">
        <w:rPr>
          <w:rFonts w:ascii="Arial" w:hAnsi="Arial" w:cs="Arial"/>
        </w:rPr>
        <w:t>.2026</w:t>
      </w:r>
    </w:p>
    <w:p w14:paraId="6530F945" w14:textId="63B0AF4E" w:rsidR="00EF49D2" w:rsidRPr="00EF49D2" w:rsidRDefault="00E7173E">
      <w:pPr>
        <w:rPr>
          <w:rFonts w:ascii="Arial" w:hAnsi="Arial" w:cs="Arial"/>
          <w:b/>
          <w:bCs/>
          <w:sz w:val="28"/>
          <w:szCs w:val="28"/>
        </w:rPr>
      </w:pPr>
      <w:r w:rsidRPr="00E7173E">
        <w:rPr>
          <w:rFonts w:ascii="Arial" w:hAnsi="Arial" w:cs="Arial"/>
          <w:b/>
          <w:bCs/>
          <w:sz w:val="28"/>
          <w:szCs w:val="28"/>
        </w:rPr>
        <w:t>Brüninghoff übergibt neue WM-Stallungen in Aache</w:t>
      </w:r>
      <w:r>
        <w:rPr>
          <w:rFonts w:ascii="Arial" w:hAnsi="Arial" w:cs="Arial"/>
          <w:b/>
          <w:bCs/>
          <w:sz w:val="28"/>
          <w:szCs w:val="28"/>
        </w:rPr>
        <w:t>n</w:t>
      </w:r>
    </w:p>
    <w:p w14:paraId="52A9CEFA" w14:textId="3EA37009" w:rsidR="00EF49D2" w:rsidRPr="00EF49D2" w:rsidRDefault="00E7173E">
      <w:pPr>
        <w:rPr>
          <w:rFonts w:ascii="Arial" w:hAnsi="Arial" w:cs="Arial"/>
          <w:sz w:val="24"/>
          <w:szCs w:val="24"/>
        </w:rPr>
      </w:pPr>
      <w:r>
        <w:rPr>
          <w:rFonts w:ascii="Arial" w:hAnsi="Arial" w:cs="Arial"/>
          <w:sz w:val="24"/>
          <w:szCs w:val="24"/>
        </w:rPr>
        <w:t>S</w:t>
      </w:r>
      <w:r w:rsidRPr="00E7173E">
        <w:rPr>
          <w:rFonts w:ascii="Arial" w:hAnsi="Arial" w:cs="Arial"/>
          <w:sz w:val="24"/>
          <w:szCs w:val="24"/>
        </w:rPr>
        <w:t>chlüsselfertige</w:t>
      </w:r>
      <w:r>
        <w:rPr>
          <w:rFonts w:ascii="Arial" w:hAnsi="Arial" w:cs="Arial"/>
          <w:sz w:val="24"/>
          <w:szCs w:val="24"/>
        </w:rPr>
        <w:t>r</w:t>
      </w:r>
      <w:r w:rsidRPr="00E7173E">
        <w:rPr>
          <w:rFonts w:ascii="Arial" w:hAnsi="Arial" w:cs="Arial"/>
          <w:sz w:val="24"/>
          <w:szCs w:val="24"/>
        </w:rPr>
        <w:t xml:space="preserve"> Neubau bietet 204 Pferden moderne Bedingungen für </w:t>
      </w:r>
      <w:r>
        <w:rPr>
          <w:rFonts w:ascii="Arial" w:hAnsi="Arial" w:cs="Arial"/>
          <w:sz w:val="24"/>
          <w:szCs w:val="24"/>
        </w:rPr>
        <w:t>WM</w:t>
      </w:r>
    </w:p>
    <w:p w14:paraId="7A5C331B" w14:textId="77777777" w:rsidR="00EF49D2" w:rsidRDefault="00EF49D2">
      <w:pPr>
        <w:rPr>
          <w:rFonts w:ascii="Arial" w:hAnsi="Arial" w:cs="Arial"/>
        </w:rPr>
      </w:pPr>
    </w:p>
    <w:p w14:paraId="26824953" w14:textId="030607D0" w:rsidR="00EF49D2" w:rsidRPr="0079702B" w:rsidRDefault="00E7173E">
      <w:pPr>
        <w:rPr>
          <w:rFonts w:ascii="Arial" w:hAnsi="Arial" w:cs="Arial"/>
          <w:b/>
          <w:bCs/>
        </w:rPr>
      </w:pPr>
      <w:r w:rsidRPr="00E7173E">
        <w:rPr>
          <w:rFonts w:ascii="Arial" w:hAnsi="Arial" w:cs="Arial"/>
          <w:b/>
          <w:bCs/>
        </w:rPr>
        <w:t>Pünktlich zu den FEI World Championships Aachen 2026 hat die Brüninghoff Group den neuen Stallkomplex für den Aachen-Laurensberger Rennverein e. V. (ALRV) fertiggestellt. Auf rund 4.200 Quadratmetern entstanden 204 Pferdeboxen sowie die zugehörigen Nutz-, Betriebs- und Versorgungsbereiche. Der Neubau ersetzt fünf bestehende Stallanlagen auf dem traditionsreichen Turniergelände in der Aachener Soers.</w:t>
      </w:r>
    </w:p>
    <w:p w14:paraId="216E33AE" w14:textId="7ACBC627" w:rsidR="0079702B" w:rsidRDefault="00B93FAD">
      <w:pPr>
        <w:rPr>
          <w:rFonts w:ascii="Arial" w:hAnsi="Arial" w:cs="Arial"/>
        </w:rPr>
      </w:pPr>
      <w:r w:rsidRPr="00B93FAD">
        <w:rPr>
          <w:rFonts w:ascii="Arial" w:hAnsi="Arial" w:cs="Arial"/>
        </w:rPr>
        <w:t>Vom 11. bis 23. August 2026 treffen dort die internationale Spitze des Pferdesports und ihre Pferde in den sechs Disziplinen Springen, Dressur, Vielseitigkeit, Para-Dressur, Fahren und Voltigieren aufeinander. Eine Veranstaltung dieser Größenordnung stellt besondere Anforderungen an die Infrastruktur abseits der Wettkampfstätten. Die Pferde benötigen sichere Rückzugs- und Regenerationsbereiche, die Pfleger funktionale Arbeitsbedingungen und die Veranstalter verlässliche logistische Abläufe.</w:t>
      </w:r>
    </w:p>
    <w:p w14:paraId="719ADCC7" w14:textId="54990E4E" w:rsidR="0079702B" w:rsidRPr="0079702B" w:rsidRDefault="00B93FAD" w:rsidP="0079702B">
      <w:pPr>
        <w:rPr>
          <w:rFonts w:ascii="Arial" w:hAnsi="Arial" w:cs="Arial"/>
          <w:b/>
          <w:bCs/>
        </w:rPr>
      </w:pPr>
      <w:r w:rsidRPr="00B93FAD">
        <w:rPr>
          <w:rFonts w:ascii="Arial" w:hAnsi="Arial" w:cs="Arial"/>
          <w:b/>
          <w:bCs/>
        </w:rPr>
        <w:t>Komplexe Anforderungen unter hohem Termindruck</w:t>
      </w:r>
    </w:p>
    <w:p w14:paraId="1EBFDF09" w14:textId="77777777" w:rsidR="00B93FAD" w:rsidRPr="00B93FAD" w:rsidRDefault="00B93FAD" w:rsidP="00B93FAD">
      <w:pPr>
        <w:rPr>
          <w:rFonts w:ascii="Arial" w:hAnsi="Arial" w:cs="Arial"/>
        </w:rPr>
      </w:pPr>
      <w:r w:rsidRPr="00B93FAD">
        <w:rPr>
          <w:rFonts w:ascii="Arial" w:hAnsi="Arial" w:cs="Arial"/>
        </w:rPr>
        <w:t>Mit der schlüsselfertigen Realisierung des Stallgebäudes übernahm die Brüninghoff Group eine zentrale Aufgabe innerhalb der Vorbereitungen auf das internationale Spitzensportereignis. Der feststehende Beginn der Weltmeisterschaften ließ keinen zeitlichen Spielraum. Zugleich erschwerten phasenweise hohe Niederschläge den Bauablauf.</w:t>
      </w:r>
    </w:p>
    <w:p w14:paraId="41DC1B5C" w14:textId="3D17D844" w:rsidR="00B93FAD" w:rsidRPr="00B93FAD" w:rsidRDefault="00BA6C88" w:rsidP="00B93FAD">
      <w:pPr>
        <w:rPr>
          <w:rFonts w:ascii="Arial" w:hAnsi="Arial" w:cs="Arial"/>
        </w:rPr>
      </w:pPr>
      <w:r w:rsidRPr="00BA6C88">
        <w:rPr>
          <w:rFonts w:ascii="Arial" w:hAnsi="Arial" w:cs="Arial"/>
        </w:rPr>
        <w:t xml:space="preserve">Unter diesem Zeitdruck kam es darauf an, sämtliche Prozesse präzise zu verzahnen. Brüninghoff richtete die integrale </w:t>
      </w:r>
      <w:r>
        <w:rPr>
          <w:rFonts w:ascii="Arial" w:hAnsi="Arial" w:cs="Arial"/>
        </w:rPr>
        <w:t>P</w:t>
      </w:r>
      <w:r w:rsidRPr="00BA6C88">
        <w:rPr>
          <w:rFonts w:ascii="Arial" w:hAnsi="Arial" w:cs="Arial"/>
        </w:rPr>
        <w:t>lanung, Produktion, Logistik und Montage konsequent auf das feste Ziel aus, den mehr als 4.200 Quadratmeter B</w:t>
      </w:r>
      <w:r>
        <w:rPr>
          <w:rFonts w:ascii="Arial" w:hAnsi="Arial" w:cs="Arial"/>
        </w:rPr>
        <w:t xml:space="preserve">ruttogeschossfläche </w:t>
      </w:r>
      <w:r w:rsidRPr="00BA6C88">
        <w:rPr>
          <w:rFonts w:ascii="Arial" w:hAnsi="Arial" w:cs="Arial"/>
        </w:rPr>
        <w:t>umfassenden Stallkomplex innerhalb von nur zehn Monaten fertigzustellen. Angesichts der Dimension des Projekts und der hohen Anforderungen an Ausführung, Funktionalität und Qualität war das eine anspruchsvolle Aufgabe. Entscheidend waren die frühzeitig auf Fertigung und Montage ausgerichtete Planung durch PLANSITE, die gebündelte Kompetenz im Beton-, Holz- und Stahlbau, die enge Zusammenarbeit der Fachbereiche und die eigene Vorfertigung am Standort Heiden. So konnten sämtliche Bauteile passgenau hergestellt, auf den Bauablauf abgestimmt und termingerecht nach Aachen geliefert und montiert werden.</w:t>
      </w:r>
    </w:p>
    <w:p w14:paraId="143CA0A6" w14:textId="4B92211C" w:rsidR="00B93FAD" w:rsidRDefault="00B93FAD">
      <w:pPr>
        <w:rPr>
          <w:rFonts w:ascii="Arial" w:hAnsi="Arial" w:cs="Arial"/>
          <w:b/>
          <w:bCs/>
        </w:rPr>
      </w:pPr>
      <w:r w:rsidRPr="00B93FAD">
        <w:rPr>
          <w:rFonts w:ascii="Arial" w:hAnsi="Arial" w:cs="Arial"/>
        </w:rPr>
        <w:t>Die integrierte Wertschöpfung innerhalb der Gruppe verkürzte Abstimmungswege und ermöglichte es, Fertigung und Baustellenablauf präzise aufeinander auszurichten. Dabei konnte Brüninghoff auf langjährige Erfahrung mit Reithallen, Stallgebäuden und komplexen Reitsportanlagen zurückgreifen.</w:t>
      </w:r>
      <w:r>
        <w:rPr>
          <w:rFonts w:ascii="Arial" w:hAnsi="Arial" w:cs="Arial"/>
          <w:b/>
          <w:bCs/>
        </w:rPr>
        <w:br w:type="page"/>
      </w:r>
    </w:p>
    <w:p w14:paraId="40EF03F4" w14:textId="0449EEB9" w:rsidR="0079702B" w:rsidRPr="0079702B" w:rsidRDefault="00B93FAD" w:rsidP="0079702B">
      <w:pPr>
        <w:rPr>
          <w:rFonts w:ascii="Arial" w:hAnsi="Arial" w:cs="Arial"/>
          <w:b/>
          <w:bCs/>
        </w:rPr>
      </w:pPr>
      <w:r w:rsidRPr="00B93FAD">
        <w:rPr>
          <w:rFonts w:ascii="Arial" w:hAnsi="Arial" w:cs="Arial"/>
          <w:b/>
          <w:bCs/>
        </w:rPr>
        <w:lastRenderedPageBreak/>
        <w:t>Planung über klar definierte Leistungsphasen</w:t>
      </w:r>
    </w:p>
    <w:p w14:paraId="7B3E2FA8" w14:textId="77777777" w:rsidR="00B93FAD" w:rsidRPr="00B93FAD" w:rsidRDefault="00B93FAD" w:rsidP="00B93FAD">
      <w:pPr>
        <w:rPr>
          <w:rFonts w:ascii="Arial" w:hAnsi="Arial" w:cs="Arial"/>
        </w:rPr>
      </w:pPr>
      <w:r w:rsidRPr="00B93FAD">
        <w:rPr>
          <w:rFonts w:ascii="Arial" w:hAnsi="Arial" w:cs="Arial"/>
        </w:rPr>
        <w:t>Der Entwurf und die Genehmigungsplanung bis einschließlich Leistungsphase 4 lagen bei KKI Kempen Krause Ingenieure. Ab der Leistungsphase 5 übernahm PLANSITE, eine Gesellschaft der Brüninghoff Group, die Ausführungsplanung.</w:t>
      </w:r>
    </w:p>
    <w:p w14:paraId="2160BD20" w14:textId="5D22D268" w:rsidR="0079702B" w:rsidRPr="0079702B" w:rsidRDefault="00B93FAD" w:rsidP="00B93FAD">
      <w:pPr>
        <w:rPr>
          <w:rFonts w:ascii="Arial" w:hAnsi="Arial" w:cs="Arial"/>
        </w:rPr>
      </w:pPr>
      <w:r w:rsidRPr="00B93FAD">
        <w:rPr>
          <w:rFonts w:ascii="Arial" w:hAnsi="Arial" w:cs="Arial"/>
        </w:rPr>
        <w:t>Damit ging die Planung in der für Fertigung und Montage entscheidenden Phase innerhalb der Unternehmensgruppe weiter. Die enge Verzahnung von Ausführungsplanung, Produktion und Baustellenorganisation erleichterte die technische Abstimmung und unterstützte die terminsichere Umsetzung. Insbesondere bei einem Projekt mit festem Eröffnungstermin war diese durchgängige Bearbeitung ein wichtiger Faktor.</w:t>
      </w:r>
    </w:p>
    <w:p w14:paraId="318EA7E5" w14:textId="20F7285F" w:rsidR="0079702B" w:rsidRPr="0079702B" w:rsidRDefault="00B93FAD" w:rsidP="0079702B">
      <w:pPr>
        <w:rPr>
          <w:rFonts w:ascii="Arial" w:hAnsi="Arial" w:cs="Arial"/>
          <w:b/>
          <w:bCs/>
        </w:rPr>
      </w:pPr>
      <w:r w:rsidRPr="00B93FAD">
        <w:rPr>
          <w:rFonts w:ascii="Arial" w:hAnsi="Arial" w:cs="Arial"/>
          <w:b/>
          <w:bCs/>
        </w:rPr>
        <w:t>Hybride Konstruktion für einen robusten Stallbetrieb</w:t>
      </w:r>
    </w:p>
    <w:p w14:paraId="6BA74ADF" w14:textId="77777777" w:rsidR="00B93FAD" w:rsidRPr="00B93FAD" w:rsidRDefault="00B93FAD" w:rsidP="00B93FAD">
      <w:pPr>
        <w:rPr>
          <w:rFonts w:ascii="Arial" w:hAnsi="Arial" w:cs="Arial"/>
        </w:rPr>
      </w:pPr>
      <w:r w:rsidRPr="00B93FAD">
        <w:rPr>
          <w:rFonts w:ascii="Arial" w:hAnsi="Arial" w:cs="Arial"/>
        </w:rPr>
        <w:t>Der Gebäudekomplex gliedert sich in eingeschossige Stallbereiche und einen zweigeschossigen Zentralbau. Dort sind unter anderem Nutz- und Betriebsräume, technische Bereiche sowie Wasch- und Trockenplätze untergebracht.</w:t>
      </w:r>
    </w:p>
    <w:p w14:paraId="1884FA22" w14:textId="77777777" w:rsidR="00B93FAD" w:rsidRPr="00B93FAD" w:rsidRDefault="00B93FAD" w:rsidP="00B93FAD">
      <w:pPr>
        <w:rPr>
          <w:rFonts w:ascii="Arial" w:hAnsi="Arial" w:cs="Arial"/>
        </w:rPr>
      </w:pPr>
      <w:r w:rsidRPr="00B93FAD">
        <w:rPr>
          <w:rFonts w:ascii="Arial" w:hAnsi="Arial" w:cs="Arial"/>
        </w:rPr>
        <w:t>Die Tragstruktur kombiniert Betonfertigteilstützen mit Brettschichtholzbindern, Stahlstützen und Holzpfetten. Die hybride Bauweise nutzt die jeweiligen Eigenschaften der Materialien gezielt und schafft eine robuste Konstruktion für den intensiv genutzten Turnierbetrieb. Zugleich ermöglichte der hohe Vorfertigungsgrad eine weitgehend planbare Montage – ein wesentlicher Vorteil angesichts des engen Zeitfensters.</w:t>
      </w:r>
    </w:p>
    <w:p w14:paraId="232EF187" w14:textId="08ED721D" w:rsidR="00EF49D2" w:rsidRDefault="00B93FAD" w:rsidP="00B93FAD">
      <w:pPr>
        <w:rPr>
          <w:rFonts w:ascii="Arial" w:hAnsi="Arial" w:cs="Arial"/>
        </w:rPr>
      </w:pPr>
      <w:r w:rsidRPr="00B93FAD">
        <w:rPr>
          <w:rFonts w:ascii="Arial" w:hAnsi="Arial" w:cs="Arial"/>
        </w:rPr>
        <w:t xml:space="preserve">Auch die standortspezifischen Anforderungen wurden berücksichtigt. Aachen liegt in der Erdbebenzone 3. Die Konstruktion </w:t>
      </w:r>
      <w:proofErr w:type="gramStart"/>
      <w:r w:rsidRPr="00B93FAD">
        <w:rPr>
          <w:rFonts w:ascii="Arial" w:hAnsi="Arial" w:cs="Arial"/>
        </w:rPr>
        <w:t>musste</w:t>
      </w:r>
      <w:proofErr w:type="gramEnd"/>
      <w:r w:rsidRPr="00B93FAD">
        <w:rPr>
          <w:rFonts w:ascii="Arial" w:hAnsi="Arial" w:cs="Arial"/>
        </w:rPr>
        <w:t xml:space="preserve"> daher erhöhte statische Anforderungen erfüllen. In ihrer sachlichen Gestaltung orientiert sich die neue Anlage zugleich an den historischen Stallgebäuden des Turniergeländes.</w:t>
      </w:r>
    </w:p>
    <w:p w14:paraId="592BBBAB" w14:textId="77777777" w:rsidR="00B93FAD" w:rsidRPr="00B93FAD" w:rsidRDefault="00B93FAD" w:rsidP="00B93FAD">
      <w:pPr>
        <w:rPr>
          <w:rFonts w:ascii="Arial" w:hAnsi="Arial" w:cs="Arial"/>
          <w:b/>
          <w:bCs/>
        </w:rPr>
      </w:pPr>
      <w:r w:rsidRPr="00B93FAD">
        <w:rPr>
          <w:rFonts w:ascii="Arial" w:hAnsi="Arial" w:cs="Arial"/>
          <w:b/>
          <w:bCs/>
        </w:rPr>
        <w:t>Pferdewohl bestimmt Ausstattung und Stallklima</w:t>
      </w:r>
    </w:p>
    <w:p w14:paraId="70453FDD" w14:textId="292EDB49" w:rsidR="00B93FAD" w:rsidRPr="00B93FAD" w:rsidRDefault="00542408" w:rsidP="00B93FAD">
      <w:pPr>
        <w:rPr>
          <w:rFonts w:ascii="Arial" w:hAnsi="Arial" w:cs="Arial"/>
        </w:rPr>
      </w:pPr>
      <w:r w:rsidRPr="00542408">
        <w:rPr>
          <w:rFonts w:ascii="Arial" w:hAnsi="Arial" w:cs="Arial"/>
        </w:rPr>
        <w:t xml:space="preserve">Im Mittelpunkt der Planung standen Sicherheit, Ruhe und Wohlbefinden der Pferde. Für den Einbau der 204 Boxen beauftragte Brüninghoff das auf Stalleinrichtungen spezialisierte Unternehmen Röwer &amp; Rüb als Nachunternehmer. Die jeweils </w:t>
      </w:r>
      <w:r w:rsidR="00342160">
        <w:rPr>
          <w:rFonts w:ascii="Arial" w:hAnsi="Arial" w:cs="Arial"/>
        </w:rPr>
        <w:t>zwölf Quadratmeter</w:t>
      </w:r>
      <w:r w:rsidRPr="00542408">
        <w:rPr>
          <w:rFonts w:ascii="Arial" w:hAnsi="Arial" w:cs="Arial"/>
        </w:rPr>
        <w:t xml:space="preserve"> großen Boxen bieten ausreichend Platz für Rückzug und Regeneration. Extra hohe Trennwände schaffen eine ruhige, geschützte Atmosphäre</w:t>
      </w:r>
      <w:r>
        <w:rPr>
          <w:rFonts w:ascii="Arial" w:hAnsi="Arial" w:cs="Arial"/>
        </w:rPr>
        <w:t xml:space="preserve"> für die empfindsamen Tiere</w:t>
      </w:r>
      <w:r w:rsidRPr="00542408">
        <w:rPr>
          <w:rFonts w:ascii="Arial" w:hAnsi="Arial" w:cs="Arial"/>
        </w:rPr>
        <w:t>. Die darin eingesetzten Füllungen</w:t>
      </w:r>
      <w:r>
        <w:rPr>
          <w:rFonts w:ascii="Arial" w:hAnsi="Arial" w:cs="Arial"/>
        </w:rPr>
        <w:t xml:space="preserve"> </w:t>
      </w:r>
      <w:r w:rsidRPr="00542408">
        <w:rPr>
          <w:rFonts w:ascii="Arial" w:hAnsi="Arial" w:cs="Arial"/>
        </w:rPr>
        <w:t>aus widerstandsfähigen Kunststoffbohlen sind pflegeleicht und für die regelmäßige Reinigung und Desinfektion ausgelegt. Integrierbare Kontaktgitter ermöglichen den Pferden zugleich Sichtkontakt und soziale Nähe zu ihren Nachbarn. So verbindet die Ausstattung Rückzugsmöglichkeiten mit einer offenen, pferdegerechten Stallumgebung.</w:t>
      </w:r>
    </w:p>
    <w:p w14:paraId="16227908" w14:textId="7DF78B78" w:rsidR="00B93FAD" w:rsidRPr="00B93FAD" w:rsidRDefault="00947574" w:rsidP="00B93FAD">
      <w:pPr>
        <w:rPr>
          <w:rFonts w:ascii="Arial" w:hAnsi="Arial" w:cs="Arial"/>
        </w:rPr>
      </w:pPr>
      <w:r w:rsidRPr="00947574">
        <w:rPr>
          <w:rFonts w:ascii="Arial" w:hAnsi="Arial" w:cs="Arial"/>
        </w:rPr>
        <w:t>Helle Stallgassen, großzügige Boxen und die offene, übersichtliche Gestaltung schaffen bereits heute gute Voraussetzungen für ein angenehmes Stallklima. Außenboxentüren, Stalltore und Waschplätze ergänzen die funktionale Ausstattung. Die eingesetzten Materialien sind widerstandsfähig gegenüber Feuchtigkeit und auf häufige Reinigung sowie regelmäßige Desinfektion ausgelegt. Damit erfüllt der Neubau die hohen hygienischen und funktionalen Anforderungen eines internationalen Championats.</w:t>
      </w:r>
    </w:p>
    <w:p w14:paraId="60AB3372" w14:textId="1A983171" w:rsidR="00B93FAD" w:rsidRPr="00B93FAD" w:rsidRDefault="00B93FAD" w:rsidP="00B93FAD">
      <w:pPr>
        <w:rPr>
          <w:rFonts w:ascii="Arial" w:hAnsi="Arial" w:cs="Arial"/>
        </w:rPr>
      </w:pPr>
      <w:r w:rsidRPr="00B93FAD">
        <w:rPr>
          <w:rFonts w:ascii="Arial" w:hAnsi="Arial" w:cs="Arial"/>
        </w:rPr>
        <w:t>Auch die Stallbewirtschaftung wurde von Beginn an mitgedacht. Äußere Trennwände lassen sich schwenken, innere Trennwände herausziehen. Dadurch können die Stallbereiche vollständig maschinell entmistet werden. Kurze Wege zwischen Boxen, Waschplätzen und Versorgungsbereichen erleichtern zudem die Versorgung mit Futter, Einstreu und Material.</w:t>
      </w:r>
    </w:p>
    <w:p w14:paraId="4D08D208" w14:textId="77777777" w:rsidR="00342160" w:rsidRDefault="00342160">
      <w:pPr>
        <w:rPr>
          <w:rFonts w:ascii="Arial" w:hAnsi="Arial" w:cs="Arial"/>
          <w:b/>
          <w:bCs/>
        </w:rPr>
      </w:pPr>
      <w:r>
        <w:rPr>
          <w:rFonts w:ascii="Arial" w:hAnsi="Arial" w:cs="Arial"/>
          <w:b/>
          <w:bCs/>
        </w:rPr>
        <w:br w:type="page"/>
      </w:r>
    </w:p>
    <w:p w14:paraId="6F7FC46F" w14:textId="059F583D" w:rsidR="00B93FAD" w:rsidRPr="0079702B" w:rsidRDefault="00B93FAD" w:rsidP="00B93FAD">
      <w:pPr>
        <w:rPr>
          <w:rFonts w:ascii="Arial" w:hAnsi="Arial" w:cs="Arial"/>
          <w:b/>
          <w:bCs/>
        </w:rPr>
      </w:pPr>
      <w:r w:rsidRPr="00B93FAD">
        <w:rPr>
          <w:rFonts w:ascii="Arial" w:hAnsi="Arial" w:cs="Arial"/>
          <w:b/>
          <w:bCs/>
        </w:rPr>
        <w:lastRenderedPageBreak/>
        <w:t>Barrierefreie Abläufe für den Para-Sport</w:t>
      </w:r>
    </w:p>
    <w:p w14:paraId="56CCE94F" w14:textId="77777777" w:rsidR="00B93FAD" w:rsidRPr="00B93FAD" w:rsidRDefault="00B93FAD" w:rsidP="00B93FAD">
      <w:pPr>
        <w:rPr>
          <w:rFonts w:ascii="Arial" w:hAnsi="Arial" w:cs="Arial"/>
        </w:rPr>
      </w:pPr>
      <w:r w:rsidRPr="00B93FAD">
        <w:rPr>
          <w:rFonts w:ascii="Arial" w:hAnsi="Arial" w:cs="Arial"/>
        </w:rPr>
        <w:t>Die Para-Dressur gehört zu den sechs Disziplinen der Weltmeisterschaften in Aachen. Entsprechend war die Barrierefreiheit ein wesentlicher Bestandteil des Stallkonzepts.</w:t>
      </w:r>
    </w:p>
    <w:p w14:paraId="670F738A" w14:textId="77777777" w:rsidR="00B93FAD" w:rsidRPr="00B93FAD" w:rsidRDefault="00B93FAD" w:rsidP="00B93FAD">
      <w:pPr>
        <w:rPr>
          <w:rFonts w:ascii="Arial" w:hAnsi="Arial" w:cs="Arial"/>
        </w:rPr>
      </w:pPr>
      <w:r w:rsidRPr="00B93FAD">
        <w:rPr>
          <w:rFonts w:ascii="Arial" w:hAnsi="Arial" w:cs="Arial"/>
        </w:rPr>
        <w:t>Barrierefreie Sanitäranlagen und Leitsysteme sowie geeignete Abstell- und Lademöglichkeiten für Rollstühle und elektronische Hilfsmittel unterstützen die Aktiven und ihre Teams. Breite Verkehrsflächen und möglichst kurze, übersichtliche Wege erleichtern den Zugang zu Pferden, Waschplätzen und Funktionsbereichen.</w:t>
      </w:r>
    </w:p>
    <w:p w14:paraId="139FB94F" w14:textId="1CCAF705" w:rsidR="00B93FAD" w:rsidRPr="00B93FAD" w:rsidRDefault="00B93FAD" w:rsidP="00B93FAD">
      <w:pPr>
        <w:rPr>
          <w:rFonts w:ascii="Arial" w:hAnsi="Arial" w:cs="Arial"/>
        </w:rPr>
      </w:pPr>
      <w:r w:rsidRPr="00B93FAD">
        <w:rPr>
          <w:rFonts w:ascii="Arial" w:hAnsi="Arial" w:cs="Arial"/>
        </w:rPr>
        <w:t>Damit berücksichtigt der Neubau die unterschiedlichen Anforderungen von Reiterinnen und Reitern, Pflegern und weiteren Teammitgliedern. Tierwohl, Funktionalität und Barrierefreiheit wurden nicht als Einzelaspekte behandelt, sondern in einem aufeinander abgestimmten Gesamtkonzept zusammengeführt.</w:t>
      </w:r>
    </w:p>
    <w:p w14:paraId="43249774" w14:textId="554E4340" w:rsidR="00B93FAD" w:rsidRPr="0079702B" w:rsidRDefault="00B93FAD" w:rsidP="00B93FAD">
      <w:pPr>
        <w:rPr>
          <w:rFonts w:ascii="Arial" w:hAnsi="Arial" w:cs="Arial"/>
          <w:b/>
          <w:bCs/>
        </w:rPr>
      </w:pPr>
      <w:r w:rsidRPr="00B93FAD">
        <w:rPr>
          <w:rFonts w:ascii="Arial" w:hAnsi="Arial" w:cs="Arial"/>
          <w:b/>
          <w:bCs/>
        </w:rPr>
        <w:t>Pünktliche Übergabe für Pferde, Reiter und Pfleger</w:t>
      </w:r>
    </w:p>
    <w:p w14:paraId="443CD8F8" w14:textId="77777777" w:rsidR="00B93FAD" w:rsidRPr="00B93FAD" w:rsidRDefault="00B93FAD" w:rsidP="00B93FAD">
      <w:pPr>
        <w:rPr>
          <w:rFonts w:ascii="Arial" w:hAnsi="Arial" w:cs="Arial"/>
        </w:rPr>
      </w:pPr>
      <w:r w:rsidRPr="00B93FAD">
        <w:rPr>
          <w:rFonts w:ascii="Arial" w:hAnsi="Arial" w:cs="Arial"/>
        </w:rPr>
        <w:t>„Der neue Stallkomplex ist ein sehr schönes Projekt, das uns zugleich einiges abverlangt hat. Der feste WM-Termin, der enge Bauzeitenplan und die zeitweise sehr nasse Witterung erforderten eine präzise Steuerung aller Beteiligten. Mit unserer Erfahrung, der eigenen Produktion und leistungsfähigen Teams haben wir die Anlage pünktlich fertiggestellt. Den Pferden, Reitern und Pflegern wünschen wir, dass sie sich hier wohlfühlen und beste Bedingungen für viele sportliche Erfolge vorfinden“, sagt Frank Steffens, CEO der Brüninghoff Group.</w:t>
      </w:r>
    </w:p>
    <w:p w14:paraId="6DD30E96" w14:textId="10A3AAA5" w:rsidR="00B93FAD" w:rsidRPr="00B93FAD" w:rsidRDefault="00B93FAD" w:rsidP="00B93FAD">
      <w:pPr>
        <w:rPr>
          <w:rFonts w:ascii="Arial" w:hAnsi="Arial" w:cs="Arial"/>
        </w:rPr>
      </w:pPr>
      <w:r w:rsidRPr="00B93FAD">
        <w:rPr>
          <w:rFonts w:ascii="Arial" w:hAnsi="Arial" w:cs="Arial"/>
        </w:rPr>
        <w:t>Mit dem Neubau erhält der ALRV eine moderne Infrastruktur für die FEI World Championships Aachen 2026. Die Anlage verbindet eine auf den internationalen Turnierbetrieb zugeschnittene Bauweise mit zeitgemäßen Bedingungen für Pferde und Betreuungsteams. Zugleich zeigt das Projekt, wie Planung, eigene Produktion und Montage innerhalb der Brüninghoff Group zusammenwirken, um einen anspruchsvollen Spezialbau innerhalb eines festen Zeitrahmens umzusetzen.</w:t>
      </w:r>
    </w:p>
    <w:p w14:paraId="1255C998" w14:textId="77777777" w:rsidR="00EF49D2" w:rsidRDefault="00EF49D2">
      <w:pPr>
        <w:rPr>
          <w:rFonts w:ascii="Arial" w:hAnsi="Arial" w:cs="Arial"/>
        </w:rPr>
      </w:pPr>
    </w:p>
    <w:p w14:paraId="429AD9E3" w14:textId="3205B233" w:rsidR="00B93FAD" w:rsidRPr="00B93FAD" w:rsidRDefault="00B93FAD">
      <w:pPr>
        <w:rPr>
          <w:rFonts w:ascii="Arial" w:hAnsi="Arial" w:cs="Arial"/>
          <w:b/>
          <w:bCs/>
        </w:rPr>
      </w:pPr>
      <w:r w:rsidRPr="00B93FAD">
        <w:rPr>
          <w:rFonts w:ascii="Arial" w:hAnsi="Arial" w:cs="Arial"/>
          <w:b/>
          <w:bCs/>
        </w:rPr>
        <w:t>BILDER</w:t>
      </w:r>
    </w:p>
    <w:p w14:paraId="36C5A1B1" w14:textId="77777777" w:rsidR="00911081" w:rsidRDefault="00911081">
      <w:pPr>
        <w:rPr>
          <w:rFonts w:ascii="Arial" w:hAnsi="Arial" w:cs="Arial"/>
          <w:b/>
          <w:sz w:val="24"/>
          <w:szCs w:val="24"/>
          <w:u w:val="single"/>
        </w:rPr>
      </w:pPr>
      <w:r>
        <w:rPr>
          <w:rFonts w:ascii="Arial" w:hAnsi="Arial" w:cs="Arial"/>
          <w:b/>
          <w:sz w:val="24"/>
          <w:szCs w:val="24"/>
          <w:u w:val="single"/>
        </w:rPr>
        <w:br w:type="page"/>
      </w:r>
    </w:p>
    <w:p w14:paraId="37A64437" w14:textId="41C8287A" w:rsidR="00EF49D2" w:rsidRPr="0041530E" w:rsidRDefault="00EF49D2" w:rsidP="00EF49D2">
      <w:pPr>
        <w:spacing w:line="360" w:lineRule="auto"/>
        <w:rPr>
          <w:rFonts w:ascii="Arial" w:hAnsi="Arial" w:cs="Arial"/>
          <w:b/>
          <w:sz w:val="24"/>
          <w:szCs w:val="24"/>
          <w:u w:val="single"/>
        </w:rPr>
      </w:pPr>
      <w:r w:rsidRPr="0041530E">
        <w:rPr>
          <w:rFonts w:ascii="Arial" w:hAnsi="Arial" w:cs="Arial"/>
          <w:b/>
          <w:sz w:val="24"/>
          <w:szCs w:val="24"/>
          <w:u w:val="single"/>
        </w:rPr>
        <w:lastRenderedPageBreak/>
        <w:t xml:space="preserve">Über </w:t>
      </w:r>
      <w:r>
        <w:rPr>
          <w:rFonts w:ascii="Arial" w:hAnsi="Arial" w:cs="Arial"/>
          <w:b/>
          <w:sz w:val="24"/>
          <w:szCs w:val="24"/>
          <w:u w:val="single"/>
        </w:rPr>
        <w:t xml:space="preserve">die </w:t>
      </w:r>
      <w:r w:rsidRPr="0041530E">
        <w:rPr>
          <w:rFonts w:ascii="Arial" w:hAnsi="Arial" w:cs="Arial"/>
          <w:b/>
          <w:sz w:val="24"/>
          <w:szCs w:val="24"/>
          <w:u w:val="single"/>
        </w:rPr>
        <w:t>Brüninghoff</w:t>
      </w:r>
      <w:r>
        <w:rPr>
          <w:rFonts w:ascii="Arial" w:hAnsi="Arial" w:cs="Arial"/>
          <w:b/>
          <w:sz w:val="24"/>
          <w:szCs w:val="24"/>
          <w:u w:val="single"/>
        </w:rPr>
        <w:t xml:space="preserve"> Group</w:t>
      </w:r>
      <w:r w:rsidRPr="0041530E">
        <w:rPr>
          <w:rFonts w:ascii="Arial" w:hAnsi="Arial" w:cs="Arial"/>
          <w:b/>
          <w:sz w:val="24"/>
          <w:szCs w:val="24"/>
          <w:u w:val="single"/>
        </w:rPr>
        <w:t>:</w:t>
      </w:r>
    </w:p>
    <w:p w14:paraId="2E2AA408" w14:textId="41E21EBF" w:rsidR="00EF49D2" w:rsidRDefault="00EF49D2" w:rsidP="00EF49D2">
      <w:pPr>
        <w:rPr>
          <w:rFonts w:ascii="Arial" w:hAnsi="Arial" w:cs="Arial"/>
          <w:sz w:val="24"/>
          <w:szCs w:val="24"/>
        </w:rPr>
      </w:pPr>
      <w:r w:rsidRPr="0041530E">
        <w:rPr>
          <w:rFonts w:ascii="Arial" w:hAnsi="Arial" w:cs="Arial"/>
          <w:sz w:val="24"/>
          <w:szCs w:val="24"/>
        </w:rPr>
        <w:t>Seit über 50 Jahren perfektioniert die Brüninghoff Group das industriell vorgefertigte Bauen in der Kombination aus Holz, Beton, Stahl und Aluminium. Sechs Gesellschaften der Group mit 700 Beschäftigten planen, produzieren, realisieren und erbringen Serviceleistungen für Immobilien. Sie treiben Innovationen voran und sind Technologievorreiter für nachhaltige und ressourceneffiziente Bauteil-, Gebäude- und Energielösungen. Brüninghoff versteht das Gebäude im Lebenszyklus und bietet alle Leistungen aus einer Hand bis hin zur Wiederverwendung der eigenen Produktentwicklungen.</w:t>
      </w:r>
    </w:p>
    <w:p w14:paraId="0BD58AE0" w14:textId="77777777" w:rsidR="00EF49D2" w:rsidRDefault="00EF49D2" w:rsidP="00EF49D2">
      <w:pPr>
        <w:rPr>
          <w:rFonts w:ascii="Arial" w:hAnsi="Arial" w:cs="Arial"/>
          <w:sz w:val="24"/>
          <w:szCs w:val="24"/>
        </w:rPr>
      </w:pPr>
    </w:p>
    <w:p w14:paraId="6765D763" w14:textId="77777777" w:rsidR="00EF49D2" w:rsidRDefault="00EF49D2" w:rsidP="00EF49D2">
      <w:pPr>
        <w:pStyle w:val="KeinLeerraum"/>
        <w:jc w:val="both"/>
        <w:rPr>
          <w:rFonts w:ascii="Arial" w:hAnsi="Arial" w:cs="Arial"/>
          <w:sz w:val="24"/>
          <w:szCs w:val="24"/>
        </w:rPr>
      </w:pPr>
      <w:r w:rsidRPr="0041530E">
        <w:rPr>
          <w:rFonts w:ascii="Arial" w:hAnsi="Arial" w:cs="Arial"/>
          <w:sz w:val="24"/>
          <w:szCs w:val="24"/>
        </w:rPr>
        <w:t>Rückfragen beantwortet</w:t>
      </w:r>
      <w:r>
        <w:rPr>
          <w:rFonts w:ascii="Arial" w:hAnsi="Arial" w:cs="Arial"/>
          <w:sz w:val="24"/>
          <w:szCs w:val="24"/>
        </w:rPr>
        <w:t xml:space="preserve"> gern:</w:t>
      </w:r>
    </w:p>
    <w:p w14:paraId="4904D016" w14:textId="77777777" w:rsidR="00EF49D2" w:rsidRDefault="00EF49D2" w:rsidP="00EF49D2">
      <w:pPr>
        <w:pStyle w:val="KeinLeerraum"/>
        <w:jc w:val="both"/>
        <w:rPr>
          <w:rFonts w:ascii="Arial" w:hAnsi="Arial" w:cs="Arial"/>
          <w:sz w:val="24"/>
          <w:szCs w:val="24"/>
        </w:rPr>
      </w:pPr>
    </w:p>
    <w:p w14:paraId="686697F8" w14:textId="77777777" w:rsidR="00EF49D2" w:rsidRDefault="00EF49D2" w:rsidP="00EF49D2">
      <w:pPr>
        <w:pStyle w:val="KeinLeerraum"/>
        <w:jc w:val="both"/>
        <w:rPr>
          <w:rFonts w:ascii="Arial" w:hAnsi="Arial" w:cs="Arial"/>
          <w:sz w:val="24"/>
          <w:szCs w:val="24"/>
        </w:rPr>
      </w:pPr>
      <w:r w:rsidRPr="00EF49D2">
        <w:rPr>
          <w:rFonts w:ascii="Arial" w:hAnsi="Arial" w:cs="Arial"/>
          <w:b/>
          <w:bCs/>
          <w:sz w:val="24"/>
          <w:szCs w:val="24"/>
        </w:rPr>
        <w:t>Frank Steffens</w:t>
      </w:r>
    </w:p>
    <w:p w14:paraId="3F355B2A" w14:textId="19919406" w:rsidR="00EF49D2" w:rsidRDefault="00EF49D2" w:rsidP="00EF49D2">
      <w:pPr>
        <w:pStyle w:val="KeinLeerraum"/>
        <w:jc w:val="both"/>
        <w:rPr>
          <w:rFonts w:ascii="Arial" w:hAnsi="Arial" w:cs="Arial"/>
          <w:sz w:val="24"/>
          <w:szCs w:val="24"/>
        </w:rPr>
      </w:pPr>
      <w:r>
        <w:rPr>
          <w:rFonts w:ascii="Arial" w:hAnsi="Arial" w:cs="Arial"/>
          <w:sz w:val="24"/>
          <w:szCs w:val="24"/>
        </w:rPr>
        <w:t>CEO Brüninghoff Group</w:t>
      </w:r>
    </w:p>
    <w:p w14:paraId="6D6F1DED" w14:textId="77777777" w:rsidR="00EF49D2" w:rsidRDefault="00EF49D2" w:rsidP="00EF49D2">
      <w:pPr>
        <w:pStyle w:val="KeinLeerraum"/>
        <w:jc w:val="both"/>
        <w:rPr>
          <w:rFonts w:ascii="Arial" w:hAnsi="Arial" w:cs="Arial"/>
          <w:sz w:val="24"/>
          <w:szCs w:val="24"/>
        </w:rPr>
      </w:pPr>
    </w:p>
    <w:p w14:paraId="42E102F9" w14:textId="00E85E1D" w:rsidR="00EF49D2" w:rsidRDefault="00EF49D2" w:rsidP="00EF49D2">
      <w:pPr>
        <w:pStyle w:val="KeinLeerraum"/>
        <w:jc w:val="both"/>
        <w:rPr>
          <w:rFonts w:ascii="Arial" w:hAnsi="Arial" w:cs="Arial"/>
          <w:sz w:val="24"/>
          <w:szCs w:val="24"/>
        </w:rPr>
      </w:pPr>
      <w:r>
        <w:rPr>
          <w:rFonts w:ascii="Arial" w:hAnsi="Arial" w:cs="Arial"/>
          <w:sz w:val="24"/>
          <w:szCs w:val="24"/>
        </w:rPr>
        <w:t>T: 02867/9739-114</w:t>
      </w:r>
    </w:p>
    <w:p w14:paraId="4D3BEA4A" w14:textId="77777777" w:rsidR="00EF49D2" w:rsidRDefault="00EF49D2" w:rsidP="00EF49D2">
      <w:pPr>
        <w:pStyle w:val="KeinLeerraum"/>
        <w:jc w:val="both"/>
        <w:rPr>
          <w:rFonts w:ascii="Arial" w:hAnsi="Arial" w:cs="Arial"/>
          <w:sz w:val="24"/>
          <w:szCs w:val="24"/>
        </w:rPr>
      </w:pPr>
      <w:r>
        <w:rPr>
          <w:rFonts w:ascii="Arial" w:hAnsi="Arial" w:cs="Arial"/>
          <w:sz w:val="24"/>
          <w:szCs w:val="24"/>
        </w:rPr>
        <w:t>E: Steffens@brueninghoff.de</w:t>
      </w:r>
    </w:p>
    <w:p w14:paraId="16048FA7" w14:textId="5E88D69F" w:rsidR="00EF49D2" w:rsidRPr="00EF49D2" w:rsidRDefault="00EF49D2" w:rsidP="00EF49D2">
      <w:pPr>
        <w:rPr>
          <w:rFonts w:ascii="Arial" w:hAnsi="Arial" w:cs="Arial"/>
        </w:rPr>
      </w:pPr>
    </w:p>
    <w:sectPr w:rsidR="00EF49D2" w:rsidRPr="00EF49D2" w:rsidSect="00394077">
      <w:headerReference w:type="default" r:id="rId6"/>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87BD3" w14:textId="77777777" w:rsidR="00DF10F7" w:rsidRDefault="00DF10F7" w:rsidP="00EF49D2">
      <w:pPr>
        <w:spacing w:after="0" w:line="240" w:lineRule="auto"/>
      </w:pPr>
      <w:r>
        <w:separator/>
      </w:r>
    </w:p>
  </w:endnote>
  <w:endnote w:type="continuationSeparator" w:id="0">
    <w:p w14:paraId="2DDD3DCD" w14:textId="77777777" w:rsidR="00DF10F7" w:rsidRDefault="00DF10F7" w:rsidP="00EF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3610" w14:textId="77777777" w:rsidR="00DF10F7" w:rsidRDefault="00DF10F7" w:rsidP="00EF49D2">
      <w:pPr>
        <w:spacing w:after="0" w:line="240" w:lineRule="auto"/>
      </w:pPr>
      <w:r>
        <w:separator/>
      </w:r>
    </w:p>
  </w:footnote>
  <w:footnote w:type="continuationSeparator" w:id="0">
    <w:p w14:paraId="7ABF6EFD" w14:textId="77777777" w:rsidR="00DF10F7" w:rsidRDefault="00DF10F7" w:rsidP="00EF4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B532" w14:textId="12EDE36B" w:rsidR="00EF49D2" w:rsidRDefault="00EF49D2" w:rsidP="00EF49D2">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2738" w14:textId="4B3A2928" w:rsidR="00394077" w:rsidRDefault="00394077">
    <w:pPr>
      <w:pStyle w:val="Kopfzeile"/>
    </w:pPr>
    <w:r w:rsidRPr="0041530E">
      <w:rPr>
        <w:noProof/>
      </w:rPr>
      <w:drawing>
        <wp:anchor distT="0" distB="0" distL="114300" distR="114300" simplePos="0" relativeHeight="251659264" behindDoc="0" locked="0" layoutInCell="1" allowOverlap="1" wp14:anchorId="1149C098" wp14:editId="556E519F">
          <wp:simplePos x="0" y="0"/>
          <wp:positionH relativeFrom="column">
            <wp:posOffset>5466715</wp:posOffset>
          </wp:positionH>
          <wp:positionV relativeFrom="paragraph">
            <wp:posOffset>1851025</wp:posOffset>
          </wp:positionV>
          <wp:extent cx="138430" cy="135890"/>
          <wp:effectExtent l="0" t="0" r="0" b="0"/>
          <wp:wrapNone/>
          <wp:docPr id="1840401334" name="Grafik 1" descr="Ein Bild, das weiß, Design, Werkzeug enthält.&#10;&#10;KI-generierte Inhalte können fehlerhaft sei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1334" name="Grafik 1" descr="Ein Bild, das weiß, Design, Werkzeug enthält.&#10;&#10;KI-generierte Inhalte können fehlerhaft sein.">
                    <a:hlinkClick r:id="rId1"/>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430" cy="135890"/>
                  </a:xfrm>
                  <a:prstGeom prst="rect">
                    <a:avLst/>
                  </a:prstGeom>
                </pic:spPr>
              </pic:pic>
            </a:graphicData>
          </a:graphic>
          <wp14:sizeRelH relativeFrom="margin">
            <wp14:pctWidth>0</wp14:pctWidth>
          </wp14:sizeRelH>
          <wp14:sizeRelV relativeFrom="margin">
            <wp14:pctHeight>0</wp14:pctHeight>
          </wp14:sizeRelV>
        </wp:anchor>
      </w:drawing>
    </w:r>
    <w:r w:rsidRPr="0041530E">
      <w:rPr>
        <w:noProof/>
      </w:rPr>
      <w:drawing>
        <wp:anchor distT="0" distB="0" distL="114300" distR="114300" simplePos="0" relativeHeight="251660288" behindDoc="0" locked="0" layoutInCell="1" allowOverlap="1" wp14:anchorId="043E28C4" wp14:editId="5FAE9F2C">
          <wp:simplePos x="0" y="0"/>
          <wp:positionH relativeFrom="column">
            <wp:posOffset>5628005</wp:posOffset>
          </wp:positionH>
          <wp:positionV relativeFrom="paragraph">
            <wp:posOffset>1858645</wp:posOffset>
          </wp:positionV>
          <wp:extent cx="133350" cy="128270"/>
          <wp:effectExtent l="0" t="0" r="0" b="5080"/>
          <wp:wrapNone/>
          <wp:docPr id="1576860383" name="Grafik 1" descr="Ein Bild, das Symbol, Logo, weiß, Design enthält.&#10;&#10;KI-generierte Inhalte können fehlerhaft sei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60383" name="Grafik 1" descr="Ein Bild, das Symbol, Logo, weiß, Design enthält.&#10;&#10;KI-generierte Inhalte können fehlerhaft sein.">
                    <a:hlinkClick r:id="rId3"/>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3350" cy="128270"/>
                  </a:xfrm>
                  <a:prstGeom prst="rect">
                    <a:avLst/>
                  </a:prstGeom>
                </pic:spPr>
              </pic:pic>
            </a:graphicData>
          </a:graphic>
          <wp14:sizeRelH relativeFrom="margin">
            <wp14:pctWidth>0</wp14:pctWidth>
          </wp14:sizeRelH>
          <wp14:sizeRelV relativeFrom="margin">
            <wp14:pctHeight>0</wp14:pctHeight>
          </wp14:sizeRelV>
        </wp:anchor>
      </w:drawing>
    </w:r>
    <w:r w:rsidRPr="0041530E">
      <w:rPr>
        <w:noProof/>
      </w:rPr>
      <w:drawing>
        <wp:anchor distT="0" distB="0" distL="114300" distR="114300" simplePos="0" relativeHeight="251661312" behindDoc="0" locked="0" layoutInCell="1" allowOverlap="1" wp14:anchorId="491D4F1F" wp14:editId="047146EF">
          <wp:simplePos x="0" y="0"/>
          <wp:positionH relativeFrom="column">
            <wp:posOffset>5785485</wp:posOffset>
          </wp:positionH>
          <wp:positionV relativeFrom="paragraph">
            <wp:posOffset>1863725</wp:posOffset>
          </wp:positionV>
          <wp:extent cx="120650" cy="120650"/>
          <wp:effectExtent l="0" t="0" r="0" b="0"/>
          <wp:wrapNone/>
          <wp:docPr id="1602869818" name="Grafik 1" descr="Ein Bild, das weiß, Design, Pfannenwender enthält.&#10;&#10;KI-generierte Inhalte können fehlerhaft sei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69818" name="Grafik 1" descr="Ein Bild, das weiß, Design, Pfannenwender enthält.&#10;&#10;KI-generierte Inhalte können fehlerhaft sein.">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650" cy="120650"/>
                  </a:xfrm>
                  <a:prstGeom prst="rect">
                    <a:avLst/>
                  </a:prstGeom>
                </pic:spPr>
              </pic:pic>
            </a:graphicData>
          </a:graphic>
          <wp14:sizeRelH relativeFrom="margin">
            <wp14:pctWidth>0</wp14:pctWidth>
          </wp14:sizeRelH>
          <wp14:sizeRelV relativeFrom="margin">
            <wp14:pctHeight>0</wp14:pctHeight>
          </wp14:sizeRelV>
        </wp:anchor>
      </w:drawing>
    </w:r>
    <w:r w:rsidRPr="00FF30F6">
      <w:rPr>
        <w:noProof/>
      </w:rPr>
      <w:drawing>
        <wp:anchor distT="0" distB="0" distL="114300" distR="114300" simplePos="0" relativeHeight="251662336" behindDoc="0" locked="0" layoutInCell="1" allowOverlap="1" wp14:anchorId="08BAFD2B" wp14:editId="088F12E5">
          <wp:simplePos x="0" y="0"/>
          <wp:positionH relativeFrom="column">
            <wp:posOffset>0</wp:posOffset>
          </wp:positionH>
          <wp:positionV relativeFrom="paragraph">
            <wp:posOffset>-635</wp:posOffset>
          </wp:positionV>
          <wp:extent cx="6172200" cy="1832610"/>
          <wp:effectExtent l="0" t="0" r="0" b="0"/>
          <wp:wrapNone/>
          <wp:docPr id="1611921248" name="Grafik 1" descr="Ein Bild, das Text, Schrif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21248" name="Grafik 1" descr="Ein Bild, das Text, Schrift, Screenshot, Design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6172200" cy="1832610"/>
                  </a:xfrm>
                  <a:prstGeom prst="rect">
                    <a:avLst/>
                  </a:prstGeom>
                </pic:spPr>
              </pic:pic>
            </a:graphicData>
          </a:graphic>
          <wp14:sizeRelH relativeFrom="margin">
            <wp14:pctWidth>0</wp14:pctWidth>
          </wp14:sizeRelH>
          <wp14:sizeRelV relativeFrom="margin">
            <wp14:pctHeight>0</wp14:pctHeight>
          </wp14:sizeRelV>
        </wp:anchor>
      </w:drawing>
    </w:r>
    <w:r w:rsidRPr="0041530E">
      <w:rPr>
        <w:noProof/>
      </w:rPr>
      <w:drawing>
        <wp:anchor distT="0" distB="0" distL="114300" distR="114300" simplePos="0" relativeHeight="251663360" behindDoc="0" locked="0" layoutInCell="1" allowOverlap="1" wp14:anchorId="73D49E79" wp14:editId="3ED08C81">
          <wp:simplePos x="0" y="0"/>
          <wp:positionH relativeFrom="column">
            <wp:posOffset>5930900</wp:posOffset>
          </wp:positionH>
          <wp:positionV relativeFrom="paragraph">
            <wp:posOffset>1862455</wp:posOffset>
          </wp:positionV>
          <wp:extent cx="172085" cy="123190"/>
          <wp:effectExtent l="0" t="0" r="0" b="0"/>
          <wp:wrapNone/>
          <wp:docPr id="1213359948" name="Grafik 1" descr="Ein Bild, das Logo, weiß, Symbol, Design enthält.&#10;&#10;KI-generierte Inhalte können fehlerhaft sei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59948" name="Grafik 1" descr="Ein Bild, das Logo, weiß, Symbol, Design enthält.&#10;&#10;KI-generierte Inhalte können fehlerhaft sein.">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085" cy="1231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D2"/>
    <w:rsid w:val="00066E3C"/>
    <w:rsid w:val="00090EBE"/>
    <w:rsid w:val="0012211A"/>
    <w:rsid w:val="0015562B"/>
    <w:rsid w:val="002D5B52"/>
    <w:rsid w:val="002F0E64"/>
    <w:rsid w:val="00342160"/>
    <w:rsid w:val="00344F55"/>
    <w:rsid w:val="00394077"/>
    <w:rsid w:val="004F7359"/>
    <w:rsid w:val="00542408"/>
    <w:rsid w:val="005432F9"/>
    <w:rsid w:val="00681201"/>
    <w:rsid w:val="006C5B6E"/>
    <w:rsid w:val="006D2AE1"/>
    <w:rsid w:val="0079702B"/>
    <w:rsid w:val="007B61F2"/>
    <w:rsid w:val="008242FB"/>
    <w:rsid w:val="008D5BD0"/>
    <w:rsid w:val="00911081"/>
    <w:rsid w:val="00947574"/>
    <w:rsid w:val="00975991"/>
    <w:rsid w:val="00A253F5"/>
    <w:rsid w:val="00A500E8"/>
    <w:rsid w:val="00AB5032"/>
    <w:rsid w:val="00B1308C"/>
    <w:rsid w:val="00B14967"/>
    <w:rsid w:val="00B93FAD"/>
    <w:rsid w:val="00BA6C88"/>
    <w:rsid w:val="00BD570A"/>
    <w:rsid w:val="00CB080E"/>
    <w:rsid w:val="00D83D1B"/>
    <w:rsid w:val="00DF10F7"/>
    <w:rsid w:val="00E07268"/>
    <w:rsid w:val="00E53D2F"/>
    <w:rsid w:val="00E55818"/>
    <w:rsid w:val="00E7173E"/>
    <w:rsid w:val="00E81A19"/>
    <w:rsid w:val="00EF49D2"/>
    <w:rsid w:val="00FA66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D800"/>
  <w15:chartTrackingRefBased/>
  <w15:docId w15:val="{59BFEA76-82EC-4465-9615-9DEEA853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3FAD"/>
  </w:style>
  <w:style w:type="paragraph" w:styleId="berschrift1">
    <w:name w:val="heading 1"/>
    <w:basedOn w:val="Standard"/>
    <w:next w:val="Standard"/>
    <w:link w:val="berschrift1Zchn"/>
    <w:uiPriority w:val="9"/>
    <w:qFormat/>
    <w:rsid w:val="00EF4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F4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49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49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49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49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49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49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49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49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F49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49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49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49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49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49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49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49D2"/>
    <w:rPr>
      <w:rFonts w:eastAsiaTheme="majorEastAsia" w:cstheme="majorBidi"/>
      <w:color w:val="272727" w:themeColor="text1" w:themeTint="D8"/>
    </w:rPr>
  </w:style>
  <w:style w:type="paragraph" w:styleId="Titel">
    <w:name w:val="Title"/>
    <w:basedOn w:val="Standard"/>
    <w:next w:val="Standard"/>
    <w:link w:val="TitelZchn"/>
    <w:uiPriority w:val="10"/>
    <w:qFormat/>
    <w:rsid w:val="00EF4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49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49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49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49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49D2"/>
    <w:rPr>
      <w:i/>
      <w:iCs/>
      <w:color w:val="404040" w:themeColor="text1" w:themeTint="BF"/>
    </w:rPr>
  </w:style>
  <w:style w:type="paragraph" w:styleId="Listenabsatz">
    <w:name w:val="List Paragraph"/>
    <w:basedOn w:val="Standard"/>
    <w:uiPriority w:val="34"/>
    <w:qFormat/>
    <w:rsid w:val="00EF49D2"/>
    <w:pPr>
      <w:ind w:left="720"/>
      <w:contextualSpacing/>
    </w:pPr>
  </w:style>
  <w:style w:type="character" w:styleId="IntensiveHervorhebung">
    <w:name w:val="Intense Emphasis"/>
    <w:basedOn w:val="Absatz-Standardschriftart"/>
    <w:uiPriority w:val="21"/>
    <w:qFormat/>
    <w:rsid w:val="00EF49D2"/>
    <w:rPr>
      <w:i/>
      <w:iCs/>
      <w:color w:val="0F4761" w:themeColor="accent1" w:themeShade="BF"/>
    </w:rPr>
  </w:style>
  <w:style w:type="paragraph" w:styleId="IntensivesZitat">
    <w:name w:val="Intense Quote"/>
    <w:basedOn w:val="Standard"/>
    <w:next w:val="Standard"/>
    <w:link w:val="IntensivesZitatZchn"/>
    <w:uiPriority w:val="30"/>
    <w:qFormat/>
    <w:rsid w:val="00EF4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49D2"/>
    <w:rPr>
      <w:i/>
      <w:iCs/>
      <w:color w:val="0F4761" w:themeColor="accent1" w:themeShade="BF"/>
    </w:rPr>
  </w:style>
  <w:style w:type="character" w:styleId="IntensiverVerweis">
    <w:name w:val="Intense Reference"/>
    <w:basedOn w:val="Absatz-Standardschriftart"/>
    <w:uiPriority w:val="32"/>
    <w:qFormat/>
    <w:rsid w:val="00EF49D2"/>
    <w:rPr>
      <w:b/>
      <w:bCs/>
      <w:smallCaps/>
      <w:color w:val="0F4761" w:themeColor="accent1" w:themeShade="BF"/>
      <w:spacing w:val="5"/>
    </w:rPr>
  </w:style>
  <w:style w:type="paragraph" w:styleId="Kopfzeile">
    <w:name w:val="header"/>
    <w:basedOn w:val="Standard"/>
    <w:link w:val="KopfzeileZchn"/>
    <w:uiPriority w:val="99"/>
    <w:unhideWhenUsed/>
    <w:rsid w:val="00EF49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49D2"/>
  </w:style>
  <w:style w:type="paragraph" w:styleId="Fuzeile">
    <w:name w:val="footer"/>
    <w:basedOn w:val="Standard"/>
    <w:link w:val="FuzeileZchn"/>
    <w:uiPriority w:val="99"/>
    <w:unhideWhenUsed/>
    <w:rsid w:val="00EF49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49D2"/>
  </w:style>
  <w:style w:type="paragraph" w:styleId="KeinLeerraum">
    <w:name w:val="No Spacing"/>
    <w:uiPriority w:val="1"/>
    <w:qFormat/>
    <w:rsid w:val="00EF49D2"/>
    <w:pPr>
      <w:spacing w:after="0" w:line="240" w:lineRule="auto"/>
    </w:pPr>
  </w:style>
  <w:style w:type="table" w:styleId="Tabellenraster">
    <w:name w:val="Table Grid"/>
    <w:basedOn w:val="NormaleTabelle"/>
    <w:uiPriority w:val="39"/>
    <w:rsid w:val="00EF4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D2AE1"/>
    <w:rPr>
      <w:sz w:val="16"/>
      <w:szCs w:val="16"/>
    </w:rPr>
  </w:style>
  <w:style w:type="paragraph" w:styleId="Kommentartext">
    <w:name w:val="annotation text"/>
    <w:basedOn w:val="Standard"/>
    <w:link w:val="KommentartextZchn"/>
    <w:uiPriority w:val="99"/>
    <w:unhideWhenUsed/>
    <w:rsid w:val="006D2AE1"/>
    <w:pPr>
      <w:spacing w:line="240" w:lineRule="auto"/>
    </w:pPr>
    <w:rPr>
      <w:sz w:val="20"/>
      <w:szCs w:val="20"/>
    </w:rPr>
  </w:style>
  <w:style w:type="character" w:customStyle="1" w:styleId="KommentartextZchn">
    <w:name w:val="Kommentartext Zchn"/>
    <w:basedOn w:val="Absatz-Standardschriftart"/>
    <w:link w:val="Kommentartext"/>
    <w:uiPriority w:val="99"/>
    <w:rsid w:val="006D2AE1"/>
    <w:rPr>
      <w:sz w:val="20"/>
      <w:szCs w:val="20"/>
    </w:rPr>
  </w:style>
  <w:style w:type="paragraph" w:styleId="Kommentarthema">
    <w:name w:val="annotation subject"/>
    <w:basedOn w:val="Kommentartext"/>
    <w:next w:val="Kommentartext"/>
    <w:link w:val="KommentarthemaZchn"/>
    <w:uiPriority w:val="99"/>
    <w:semiHidden/>
    <w:unhideWhenUsed/>
    <w:rsid w:val="006D2AE1"/>
    <w:rPr>
      <w:b/>
      <w:bCs/>
    </w:rPr>
  </w:style>
  <w:style w:type="character" w:customStyle="1" w:styleId="KommentarthemaZchn">
    <w:name w:val="Kommentarthema Zchn"/>
    <w:basedOn w:val="KommentartextZchn"/>
    <w:link w:val="Kommentarthema"/>
    <w:uiPriority w:val="99"/>
    <w:semiHidden/>
    <w:rsid w:val="006D2AE1"/>
    <w:rPr>
      <w:b/>
      <w:bCs/>
      <w:sz w:val="20"/>
      <w:szCs w:val="20"/>
    </w:rPr>
  </w:style>
  <w:style w:type="paragraph" w:styleId="berarbeitung">
    <w:name w:val="Revision"/>
    <w:hidden/>
    <w:uiPriority w:val="99"/>
    <w:semiHidden/>
    <w:rsid w:val="00B1308C"/>
    <w:pPr>
      <w:spacing w:after="0" w:line="240" w:lineRule="auto"/>
    </w:pPr>
  </w:style>
  <w:style w:type="character" w:styleId="Hyperlink">
    <w:name w:val="Hyperlink"/>
    <w:basedOn w:val="Absatz-Standardschriftart"/>
    <w:uiPriority w:val="99"/>
    <w:unhideWhenUsed/>
    <w:rsid w:val="00911081"/>
    <w:rPr>
      <w:color w:val="467886" w:themeColor="hyperlink"/>
      <w:u w:val="single"/>
    </w:rPr>
  </w:style>
  <w:style w:type="character" w:styleId="NichtaufgelsteErwhnung">
    <w:name w:val="Unresolved Mention"/>
    <w:basedOn w:val="Absatz-Standardschriftart"/>
    <w:uiPriority w:val="99"/>
    <w:semiHidden/>
    <w:unhideWhenUsed/>
    <w:rsid w:val="00911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40260">
      <w:bodyDiv w:val="1"/>
      <w:marLeft w:val="0"/>
      <w:marRight w:val="0"/>
      <w:marTop w:val="0"/>
      <w:marBottom w:val="0"/>
      <w:divBdr>
        <w:top w:val="none" w:sz="0" w:space="0" w:color="auto"/>
        <w:left w:val="none" w:sz="0" w:space="0" w:color="auto"/>
        <w:bottom w:val="none" w:sz="0" w:space="0" w:color="auto"/>
        <w:right w:val="none" w:sz="0" w:space="0" w:color="auto"/>
      </w:divBdr>
    </w:div>
    <w:div w:id="346560147">
      <w:bodyDiv w:val="1"/>
      <w:marLeft w:val="0"/>
      <w:marRight w:val="0"/>
      <w:marTop w:val="0"/>
      <w:marBottom w:val="0"/>
      <w:divBdr>
        <w:top w:val="none" w:sz="0" w:space="0" w:color="auto"/>
        <w:left w:val="none" w:sz="0" w:space="0" w:color="auto"/>
        <w:bottom w:val="none" w:sz="0" w:space="0" w:color="auto"/>
        <w:right w:val="none" w:sz="0" w:space="0" w:color="auto"/>
      </w:divBdr>
    </w:div>
    <w:div w:id="377514419">
      <w:bodyDiv w:val="1"/>
      <w:marLeft w:val="0"/>
      <w:marRight w:val="0"/>
      <w:marTop w:val="0"/>
      <w:marBottom w:val="0"/>
      <w:divBdr>
        <w:top w:val="none" w:sz="0" w:space="0" w:color="auto"/>
        <w:left w:val="none" w:sz="0" w:space="0" w:color="auto"/>
        <w:bottom w:val="none" w:sz="0" w:space="0" w:color="auto"/>
        <w:right w:val="none" w:sz="0" w:space="0" w:color="auto"/>
      </w:divBdr>
    </w:div>
    <w:div w:id="1082333088">
      <w:bodyDiv w:val="1"/>
      <w:marLeft w:val="0"/>
      <w:marRight w:val="0"/>
      <w:marTop w:val="0"/>
      <w:marBottom w:val="0"/>
      <w:divBdr>
        <w:top w:val="none" w:sz="0" w:space="0" w:color="auto"/>
        <w:left w:val="none" w:sz="0" w:space="0" w:color="auto"/>
        <w:bottom w:val="none" w:sz="0" w:space="0" w:color="auto"/>
        <w:right w:val="none" w:sz="0" w:space="0" w:color="auto"/>
      </w:divBdr>
    </w:div>
    <w:div w:id="1467240073">
      <w:bodyDiv w:val="1"/>
      <w:marLeft w:val="0"/>
      <w:marRight w:val="0"/>
      <w:marTop w:val="0"/>
      <w:marBottom w:val="0"/>
      <w:divBdr>
        <w:top w:val="none" w:sz="0" w:space="0" w:color="auto"/>
        <w:left w:val="none" w:sz="0" w:space="0" w:color="auto"/>
        <w:bottom w:val="none" w:sz="0" w:space="0" w:color="auto"/>
        <w:right w:val="none" w:sz="0" w:space="0" w:color="auto"/>
      </w:divBdr>
    </w:div>
    <w:div w:id="1600522646">
      <w:bodyDiv w:val="1"/>
      <w:marLeft w:val="0"/>
      <w:marRight w:val="0"/>
      <w:marTop w:val="0"/>
      <w:marBottom w:val="0"/>
      <w:divBdr>
        <w:top w:val="none" w:sz="0" w:space="0" w:color="auto"/>
        <w:left w:val="none" w:sz="0" w:space="0" w:color="auto"/>
        <w:bottom w:val="none" w:sz="0" w:space="0" w:color="auto"/>
        <w:right w:val="none" w:sz="0" w:space="0" w:color="auto"/>
      </w:divBdr>
    </w:div>
    <w:div w:id="1649357544">
      <w:bodyDiv w:val="1"/>
      <w:marLeft w:val="0"/>
      <w:marRight w:val="0"/>
      <w:marTop w:val="0"/>
      <w:marBottom w:val="0"/>
      <w:divBdr>
        <w:top w:val="none" w:sz="0" w:space="0" w:color="auto"/>
        <w:left w:val="none" w:sz="0" w:space="0" w:color="auto"/>
        <w:bottom w:val="none" w:sz="0" w:space="0" w:color="auto"/>
        <w:right w:val="none" w:sz="0" w:space="0" w:color="auto"/>
      </w:divBdr>
    </w:div>
    <w:div w:id="1785609368">
      <w:bodyDiv w:val="1"/>
      <w:marLeft w:val="0"/>
      <w:marRight w:val="0"/>
      <w:marTop w:val="0"/>
      <w:marBottom w:val="0"/>
      <w:divBdr>
        <w:top w:val="none" w:sz="0" w:space="0" w:color="auto"/>
        <w:left w:val="none" w:sz="0" w:space="0" w:color="auto"/>
        <w:bottom w:val="none" w:sz="0" w:space="0" w:color="auto"/>
        <w:right w:val="none" w:sz="0" w:space="0" w:color="auto"/>
      </w:divBdr>
    </w:div>
    <w:div w:id="1980307374">
      <w:bodyDiv w:val="1"/>
      <w:marLeft w:val="0"/>
      <w:marRight w:val="0"/>
      <w:marTop w:val="0"/>
      <w:marBottom w:val="0"/>
      <w:divBdr>
        <w:top w:val="none" w:sz="0" w:space="0" w:color="auto"/>
        <w:left w:val="none" w:sz="0" w:space="0" w:color="auto"/>
        <w:bottom w:val="none" w:sz="0" w:space="0" w:color="auto"/>
        <w:right w:val="none" w:sz="0" w:space="0" w:color="auto"/>
      </w:divBdr>
    </w:div>
    <w:div w:id="21053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8" Type="http://schemas.openxmlformats.org/officeDocument/2006/relationships/hyperlink" Target="https://www.youtube.com/user/Brueninghoff" TargetMode="External"/><Relationship Id="rId3" Type="http://schemas.openxmlformats.org/officeDocument/2006/relationships/hyperlink" Target="https://www.facebook.com/brueninghoffgroup/?locale=de_DE" TargetMode="External"/><Relationship Id="rId7"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hyperlink" Target="https://www.instagram.com/brueninghoff_group/" TargetMode="External"/><Relationship Id="rId6" Type="http://schemas.openxmlformats.org/officeDocument/2006/relationships/image" Target="media/image3.png"/><Relationship Id="rId5" Type="http://schemas.openxmlformats.org/officeDocument/2006/relationships/hyperlink" Target="https://de.linkedin.com/company/brueninghoffgroup" TargetMode="External"/><Relationship Id="rId4" Type="http://schemas.openxmlformats.org/officeDocument/2006/relationships/image" Target="media/image2.png"/><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1161</Words>
  <Characters>7318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Assja Terseglav</dc:creator>
  <cp:keywords/>
  <dc:description/>
  <cp:lastModifiedBy>Assja Terseglav</cp:lastModifiedBy>
  <cp:revision>9</cp:revision>
  <dcterms:created xsi:type="dcterms:W3CDTF">2026-07-30T12:49:00Z</dcterms:created>
  <dcterms:modified xsi:type="dcterms:W3CDTF">2026-07-31T10:30:00Z</dcterms:modified>
</cp:coreProperties>
</file>