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F0628" w14:textId="77777777" w:rsidR="008D5BD0" w:rsidRPr="00EF49D2" w:rsidRDefault="008D5BD0">
      <w:pPr>
        <w:rPr>
          <w:rFonts w:ascii="Arial" w:hAnsi="Arial" w:cs="Arial"/>
        </w:rPr>
      </w:pPr>
    </w:p>
    <w:p w14:paraId="14D5C6B4" w14:textId="77777777" w:rsidR="00EF49D2" w:rsidRPr="00EF49D2" w:rsidRDefault="00EF49D2">
      <w:pPr>
        <w:rPr>
          <w:rFonts w:ascii="Arial" w:hAnsi="Arial" w:cs="Arial"/>
        </w:rPr>
      </w:pPr>
    </w:p>
    <w:p w14:paraId="58059CEE" w14:textId="77777777" w:rsidR="00EF49D2" w:rsidRPr="00EF49D2" w:rsidRDefault="00EF49D2">
      <w:pPr>
        <w:rPr>
          <w:rFonts w:ascii="Arial" w:hAnsi="Arial" w:cs="Arial"/>
        </w:rPr>
      </w:pPr>
    </w:p>
    <w:p w14:paraId="531A94B2" w14:textId="77777777" w:rsidR="00EF49D2" w:rsidRPr="00EF49D2" w:rsidRDefault="00EF49D2">
      <w:pPr>
        <w:rPr>
          <w:rFonts w:ascii="Arial" w:hAnsi="Arial" w:cs="Arial"/>
        </w:rPr>
      </w:pPr>
    </w:p>
    <w:p w14:paraId="246D66EA" w14:textId="77777777" w:rsidR="00EF49D2" w:rsidRPr="00EF49D2" w:rsidRDefault="00EF49D2">
      <w:pPr>
        <w:rPr>
          <w:rFonts w:ascii="Arial" w:hAnsi="Arial" w:cs="Arial"/>
        </w:rPr>
      </w:pPr>
    </w:p>
    <w:p w14:paraId="0B1AECD8" w14:textId="77777777" w:rsidR="00EF49D2" w:rsidRPr="00EF49D2" w:rsidRDefault="00EF49D2">
      <w:pPr>
        <w:rPr>
          <w:rFonts w:ascii="Arial" w:hAnsi="Arial" w:cs="Arial"/>
        </w:rPr>
      </w:pPr>
    </w:p>
    <w:p w14:paraId="561C9E1B" w14:textId="77777777" w:rsidR="00EF49D2" w:rsidRPr="00EF49D2" w:rsidRDefault="00EF49D2">
      <w:pPr>
        <w:rPr>
          <w:rFonts w:ascii="Arial" w:hAnsi="Arial" w:cs="Arial"/>
        </w:rPr>
      </w:pPr>
    </w:p>
    <w:p w14:paraId="10B2B8FF" w14:textId="369FC45A" w:rsidR="00EF49D2" w:rsidRPr="00EF49D2" w:rsidRDefault="00383922" w:rsidP="00EF49D2">
      <w:pPr>
        <w:jc w:val="right"/>
        <w:rPr>
          <w:rFonts w:ascii="Arial" w:hAnsi="Arial" w:cs="Arial"/>
        </w:rPr>
      </w:pPr>
      <w:r>
        <w:rPr>
          <w:rFonts w:ascii="Arial" w:hAnsi="Arial" w:cs="Arial"/>
        </w:rPr>
        <w:t>16.07</w:t>
      </w:r>
      <w:r w:rsidR="005405E7">
        <w:rPr>
          <w:rFonts w:ascii="Arial" w:hAnsi="Arial" w:cs="Arial"/>
        </w:rPr>
        <w:t>.2026</w:t>
      </w:r>
    </w:p>
    <w:p w14:paraId="6530F945" w14:textId="24F9EEEE" w:rsidR="00EF49D2" w:rsidRPr="00EF49D2" w:rsidRDefault="00383922">
      <w:pPr>
        <w:rPr>
          <w:rFonts w:ascii="Arial" w:hAnsi="Arial" w:cs="Arial"/>
          <w:b/>
          <w:bCs/>
          <w:sz w:val="28"/>
          <w:szCs w:val="28"/>
        </w:rPr>
      </w:pPr>
      <w:r w:rsidRPr="00383922">
        <w:rPr>
          <w:rFonts w:ascii="Arial" w:hAnsi="Arial" w:cs="Arial"/>
          <w:b/>
          <w:bCs/>
          <w:sz w:val="28"/>
          <w:szCs w:val="28"/>
        </w:rPr>
        <w:t>Wohnquartier in Berlin-Wilmersdorf nimmt Gestalt an</w:t>
      </w:r>
    </w:p>
    <w:p w14:paraId="52A9CEFA" w14:textId="22E9BFB5" w:rsidR="00EF49D2" w:rsidRPr="00EF49D2" w:rsidRDefault="00383922">
      <w:pPr>
        <w:rPr>
          <w:rFonts w:ascii="Arial" w:hAnsi="Arial" w:cs="Arial"/>
          <w:sz w:val="24"/>
          <w:szCs w:val="24"/>
        </w:rPr>
      </w:pPr>
      <w:r w:rsidRPr="00383922">
        <w:rPr>
          <w:rFonts w:ascii="Arial" w:hAnsi="Arial" w:cs="Arial"/>
          <w:sz w:val="24"/>
          <w:szCs w:val="24"/>
        </w:rPr>
        <w:t>Nachverdichtung in Holz-Hybridbauweise schafft neuen Wohnraum im Bestand</w:t>
      </w:r>
    </w:p>
    <w:p w14:paraId="7A5C331B" w14:textId="77777777" w:rsidR="00EF49D2" w:rsidRDefault="00EF49D2">
      <w:pPr>
        <w:rPr>
          <w:rFonts w:ascii="Arial" w:hAnsi="Arial" w:cs="Arial"/>
        </w:rPr>
      </w:pPr>
    </w:p>
    <w:p w14:paraId="01435377" w14:textId="77777777" w:rsidR="00383922" w:rsidRPr="00383922" w:rsidRDefault="00383922" w:rsidP="00383922">
      <w:pPr>
        <w:rPr>
          <w:rFonts w:ascii="Arial" w:hAnsi="Arial" w:cs="Arial"/>
        </w:rPr>
      </w:pPr>
      <w:r w:rsidRPr="00383922">
        <w:rPr>
          <w:rFonts w:ascii="Arial" w:hAnsi="Arial" w:cs="Arial"/>
        </w:rPr>
        <w:t>Im Quartier an der Sodener Straße in Berlin-Wilmersdorf wird sichtbar, wie dringend benötigter Wohnraum im bestehenden Stadtgefüge entstehen kann. Für die Becker &amp; Kries Grundstücks GmbH &amp; Co. KG realisiert Brüninghoff sechs Wohngebäude mit 123 Wohnungen sowie ergänzenden Gewerbeflächen. Gerade in Ballungszentren wie Berlin sind Projekte dieser Art wichtig: Sie nutzen vorhandene Flächen, verdichten bestehende Quartiere und schaffen zusätzlichen Wohnraum dort, wo er gebraucht wird.</w:t>
      </w:r>
    </w:p>
    <w:p w14:paraId="0EE5B2C8" w14:textId="77777777" w:rsidR="00383922" w:rsidRPr="00383922" w:rsidRDefault="00383922" w:rsidP="00383922">
      <w:pPr>
        <w:rPr>
          <w:rFonts w:ascii="Arial" w:hAnsi="Arial" w:cs="Arial"/>
        </w:rPr>
      </w:pPr>
      <w:r w:rsidRPr="00383922">
        <w:rPr>
          <w:rFonts w:ascii="Arial" w:hAnsi="Arial" w:cs="Arial"/>
        </w:rPr>
        <w:t>Das Richtfest am 15.07.2026 bot deshalb nicht nur Anlass für einen Blick auf den Projektstand, sondern auch für Wertschätzung gegenüber den Handwerkerinnen und Handwerkern auf der Baustelle. Ihr Einsatz zeigt sich inzwischen deutlich: Vier der sechs Häuser befinden sich bereits im Ausbau, bei zwei weiteren Gebäuden wird der Holzbau im Herbst finalisiert. Drei Häuser verfügen über eine geschlossene Hülle mit Fassade, Balkonen, Wärmedämmverbundsystem, Photovoltaikanlage und Dachbegrünung; an einem weiteren Haus laufen Fassaden- und Dämmarbeiten.</w:t>
      </w:r>
    </w:p>
    <w:p w14:paraId="1D085F21" w14:textId="77777777" w:rsidR="00383922" w:rsidRPr="00383922" w:rsidRDefault="00383922" w:rsidP="00383922">
      <w:pPr>
        <w:rPr>
          <w:rFonts w:ascii="Arial" w:hAnsi="Arial" w:cs="Arial"/>
        </w:rPr>
      </w:pPr>
      <w:r w:rsidRPr="00383922">
        <w:rPr>
          <w:rFonts w:ascii="Arial" w:hAnsi="Arial" w:cs="Arial"/>
        </w:rPr>
        <w:t>Dass dieser Fortschritt in einem innerstädtischen Umfeld möglich ist, hängt eng mit der gewählten Bauweise und einer präzisen Planung zusammen. Die Quartierserweiterung verbindet Massivbau mit modularer Holz-Hybridbauweise: Während die unteren Geschosse in Massivbauweise entstehen, kommen in den oberen Etagen Holzrahmenbauwände und Brettsperrholzdecken zum Einsatz. PLANSITE, die Planungsgesellschaft der Brüninghoff Group, übernahm die Leistungsphasen 3 bis 5 und koordinierte dabei die beteiligten Fachdisziplinen digital. Der hohe Vorfertigungsgrad unterstützt kurze, verlässliche Abläufe auf der Baustelle und trägt dazu bei, das bestehende Wohnumfeld weniger zu belasten. Brüninghoff bringt dabei Erfahrung in der Koordination komplexer Bauprozesse ein – von der Ausführung bis zur schlüsselfertigen Übergabe.</w:t>
      </w:r>
    </w:p>
    <w:p w14:paraId="77A5FC78" w14:textId="65362401" w:rsidR="005405E7" w:rsidRPr="005405E7" w:rsidRDefault="00383922" w:rsidP="00383922">
      <w:pPr>
        <w:rPr>
          <w:rFonts w:ascii="Arial" w:hAnsi="Arial" w:cs="Arial"/>
        </w:rPr>
      </w:pPr>
      <w:r w:rsidRPr="00383922">
        <w:rPr>
          <w:rFonts w:ascii="Arial" w:hAnsi="Arial" w:cs="Arial"/>
        </w:rPr>
        <w:t>Parallel nimmt auch das Quartier als Ganzes weiter Form an. Die Arbeiten an den Außenanlagen haben begonnen, darunter Erdarbeiten auf der Tiefgarage und die Vorbereitung der Spielplatzflächen. Zudem läuft die Erschließung mit der Nahwärmeleitung. Vorgesehen sind Effizienzhaus-55-Standard, Photovoltaik, Gründächer sowie Treffpunkte und Grünflächen. So entsteht nicht nur zusätzliche Wohnfläche, sondern ein Quartier, das bestehende Strukturen ergänzt und neue Aufenthaltsqualität schafft.</w:t>
      </w:r>
    </w:p>
    <w:p w14:paraId="75F95C51" w14:textId="77777777" w:rsidR="00EF49D2" w:rsidRDefault="00EF49D2">
      <w:pPr>
        <w:rPr>
          <w:rFonts w:ascii="Arial" w:hAnsi="Arial" w:cs="Arial"/>
        </w:rPr>
      </w:pPr>
    </w:p>
    <w:p w14:paraId="40D49D60" w14:textId="1DE7B53C" w:rsidR="00EF49D2" w:rsidRDefault="00383922" w:rsidP="00EF49D2">
      <w:pPr>
        <w:spacing w:line="360" w:lineRule="auto"/>
        <w:rPr>
          <w:rFonts w:ascii="Arial" w:hAnsi="Arial" w:cs="Arial"/>
          <w:b/>
          <w:sz w:val="24"/>
          <w:szCs w:val="24"/>
        </w:rPr>
      </w:pPr>
      <w:r w:rsidRPr="00383922">
        <w:rPr>
          <w:rFonts w:ascii="Arial" w:hAnsi="Arial" w:cs="Arial"/>
          <w:b/>
          <w:sz w:val="24"/>
          <w:szCs w:val="24"/>
        </w:rPr>
        <w:lastRenderedPageBreak/>
        <w:drawing>
          <wp:inline distT="0" distB="0" distL="0" distR="0" wp14:anchorId="5D2089CC" wp14:editId="033850BE">
            <wp:extent cx="5394960" cy="4064655"/>
            <wp:effectExtent l="0" t="0" r="0" b="0"/>
            <wp:docPr id="1100897645" name="Grafik 1" descr="Ein Bild, das Kleidung, draußen, Perso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97645" name="Grafik 1" descr="Ein Bild, das Kleidung, draußen, Person, Himmel enthält.&#10;&#10;KI-generierte Inhalte können fehlerhaft sein."/>
                    <pic:cNvPicPr/>
                  </pic:nvPicPr>
                  <pic:blipFill>
                    <a:blip r:embed="rId6"/>
                    <a:stretch>
                      <a:fillRect/>
                    </a:stretch>
                  </pic:blipFill>
                  <pic:spPr>
                    <a:xfrm>
                      <a:off x="0" y="0"/>
                      <a:ext cx="5403273" cy="4070918"/>
                    </a:xfrm>
                    <a:prstGeom prst="rect">
                      <a:avLst/>
                    </a:prstGeom>
                  </pic:spPr>
                </pic:pic>
              </a:graphicData>
            </a:graphic>
          </wp:inline>
        </w:drawing>
      </w:r>
    </w:p>
    <w:p w14:paraId="346B1922" w14:textId="60D5414F" w:rsidR="00BB58CA" w:rsidRPr="00BB58CA" w:rsidRDefault="00AD00A6" w:rsidP="00383922">
      <w:pPr>
        <w:spacing w:line="360" w:lineRule="auto"/>
        <w:rPr>
          <w:rFonts w:ascii="Arial" w:hAnsi="Arial" w:cs="Arial"/>
          <w:b/>
          <w:bCs/>
        </w:rPr>
      </w:pPr>
      <w:r>
        <w:rPr>
          <w:rFonts w:ascii="Arial" w:hAnsi="Arial" w:cs="Arial"/>
        </w:rPr>
        <w:t>Von links:</w:t>
      </w:r>
      <w:r w:rsidR="00BB58CA" w:rsidRPr="00BB58CA">
        <w:rPr>
          <w:rFonts w:ascii="Arial" w:hAnsi="Arial" w:cs="Arial"/>
        </w:rPr>
        <w:t xml:space="preserve"> </w:t>
      </w:r>
      <w:r w:rsidR="00383922" w:rsidRPr="00383922">
        <w:rPr>
          <w:rFonts w:ascii="Arial" w:hAnsi="Arial" w:cs="Arial"/>
        </w:rPr>
        <w:t xml:space="preserve">Stefanie </w:t>
      </w:r>
      <w:proofErr w:type="spellStart"/>
      <w:r w:rsidR="00383922" w:rsidRPr="00383922">
        <w:rPr>
          <w:rFonts w:ascii="Arial" w:hAnsi="Arial" w:cs="Arial"/>
        </w:rPr>
        <w:t>Frentsch</w:t>
      </w:r>
      <w:proofErr w:type="spellEnd"/>
      <w:r w:rsidR="00383922" w:rsidRPr="00383922">
        <w:rPr>
          <w:rFonts w:ascii="Arial" w:hAnsi="Arial" w:cs="Arial"/>
        </w:rPr>
        <w:t>, Geschäftsführerin Becker &amp; Kries, Christian Gaebler, Senator für Stadtentwicklung, Bauen und Wohnen, Christoph Brzezinski, stellvertretender Bezirksbürgermeister und Bezirksstadtrat für Stadtentwicklung, Liegenschaften und IT, und Heike Goldbach, Technische Leitung Brüninghoff Bausysteme.</w:t>
      </w:r>
      <w:r w:rsidR="00BB58CA">
        <w:rPr>
          <w:rFonts w:ascii="Arial" w:hAnsi="Arial" w:cs="Arial"/>
        </w:rPr>
        <w:tab/>
      </w:r>
      <w:r w:rsidR="00BB58CA">
        <w:rPr>
          <w:rFonts w:ascii="Arial" w:hAnsi="Arial" w:cs="Arial"/>
          <w:b/>
          <w:bCs/>
        </w:rPr>
        <w:t>Bild</w:t>
      </w:r>
      <w:r w:rsidR="00BB58CA" w:rsidRPr="00BB58CA">
        <w:rPr>
          <w:rFonts w:ascii="Arial" w:hAnsi="Arial" w:cs="Arial"/>
          <w:b/>
          <w:bCs/>
        </w:rPr>
        <w:t xml:space="preserve">: </w:t>
      </w:r>
      <w:r w:rsidR="00383922">
        <w:rPr>
          <w:rFonts w:ascii="Arial" w:hAnsi="Arial" w:cs="Arial"/>
          <w:b/>
          <w:bCs/>
        </w:rPr>
        <w:t>Brüninghoff</w:t>
      </w:r>
    </w:p>
    <w:p w14:paraId="7B4FF1A0" w14:textId="77777777" w:rsidR="00BB58CA" w:rsidRDefault="00BB58CA" w:rsidP="00EF49D2">
      <w:pPr>
        <w:spacing w:line="360" w:lineRule="auto"/>
        <w:rPr>
          <w:rFonts w:ascii="Arial" w:hAnsi="Arial" w:cs="Arial"/>
          <w:b/>
          <w:sz w:val="24"/>
          <w:szCs w:val="24"/>
        </w:rPr>
      </w:pPr>
    </w:p>
    <w:p w14:paraId="37A64437" w14:textId="014F2575" w:rsidR="00EF49D2" w:rsidRPr="0041530E" w:rsidRDefault="00EF49D2" w:rsidP="00EF49D2">
      <w:pPr>
        <w:spacing w:line="360" w:lineRule="auto"/>
        <w:rPr>
          <w:rFonts w:ascii="Arial" w:hAnsi="Arial" w:cs="Arial"/>
          <w:b/>
          <w:sz w:val="24"/>
          <w:szCs w:val="24"/>
          <w:u w:val="single"/>
        </w:rPr>
      </w:pPr>
      <w:r w:rsidRPr="0041530E">
        <w:rPr>
          <w:rFonts w:ascii="Arial" w:hAnsi="Arial" w:cs="Arial"/>
          <w:b/>
          <w:sz w:val="24"/>
          <w:szCs w:val="24"/>
          <w:u w:val="single"/>
        </w:rPr>
        <w:t xml:space="preserve">Über </w:t>
      </w:r>
      <w:r>
        <w:rPr>
          <w:rFonts w:ascii="Arial" w:hAnsi="Arial" w:cs="Arial"/>
          <w:b/>
          <w:sz w:val="24"/>
          <w:szCs w:val="24"/>
          <w:u w:val="single"/>
        </w:rPr>
        <w:t xml:space="preserve">die </w:t>
      </w:r>
      <w:r w:rsidRPr="0041530E">
        <w:rPr>
          <w:rFonts w:ascii="Arial" w:hAnsi="Arial" w:cs="Arial"/>
          <w:b/>
          <w:sz w:val="24"/>
          <w:szCs w:val="24"/>
          <w:u w:val="single"/>
        </w:rPr>
        <w:t>Brüninghoff</w:t>
      </w:r>
      <w:r>
        <w:rPr>
          <w:rFonts w:ascii="Arial" w:hAnsi="Arial" w:cs="Arial"/>
          <w:b/>
          <w:sz w:val="24"/>
          <w:szCs w:val="24"/>
          <w:u w:val="single"/>
        </w:rPr>
        <w:t xml:space="preserve"> Group</w:t>
      </w:r>
      <w:r w:rsidRPr="0041530E">
        <w:rPr>
          <w:rFonts w:ascii="Arial" w:hAnsi="Arial" w:cs="Arial"/>
          <w:b/>
          <w:sz w:val="24"/>
          <w:szCs w:val="24"/>
          <w:u w:val="single"/>
        </w:rPr>
        <w:t>:</w:t>
      </w:r>
    </w:p>
    <w:p w14:paraId="2E2AA408" w14:textId="41E21EBF" w:rsidR="00EF49D2" w:rsidRDefault="00EF49D2" w:rsidP="00EF49D2">
      <w:pPr>
        <w:rPr>
          <w:rFonts w:ascii="Arial" w:hAnsi="Arial" w:cs="Arial"/>
          <w:sz w:val="24"/>
          <w:szCs w:val="24"/>
        </w:rPr>
      </w:pPr>
      <w:r w:rsidRPr="0041530E">
        <w:rPr>
          <w:rFonts w:ascii="Arial" w:hAnsi="Arial" w:cs="Arial"/>
          <w:sz w:val="24"/>
          <w:szCs w:val="24"/>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p w14:paraId="0BD58AE0" w14:textId="77777777" w:rsidR="00EF49D2" w:rsidRDefault="00EF49D2" w:rsidP="00EF49D2">
      <w:pPr>
        <w:rPr>
          <w:rFonts w:ascii="Arial" w:hAnsi="Arial" w:cs="Arial"/>
          <w:sz w:val="24"/>
          <w:szCs w:val="24"/>
        </w:rPr>
      </w:pPr>
    </w:p>
    <w:p w14:paraId="6765D763" w14:textId="77777777" w:rsidR="00EF49D2" w:rsidRDefault="00EF49D2" w:rsidP="00EF49D2">
      <w:pPr>
        <w:pStyle w:val="KeinLeerraum"/>
        <w:jc w:val="both"/>
        <w:rPr>
          <w:rFonts w:ascii="Arial" w:hAnsi="Arial" w:cs="Arial"/>
          <w:sz w:val="24"/>
          <w:szCs w:val="24"/>
        </w:rPr>
      </w:pPr>
      <w:r w:rsidRPr="0041530E">
        <w:rPr>
          <w:rFonts w:ascii="Arial" w:hAnsi="Arial" w:cs="Arial"/>
          <w:sz w:val="24"/>
          <w:szCs w:val="24"/>
        </w:rPr>
        <w:t>Rückfragen beantwortet</w:t>
      </w:r>
      <w:r>
        <w:rPr>
          <w:rFonts w:ascii="Arial" w:hAnsi="Arial" w:cs="Arial"/>
          <w:sz w:val="24"/>
          <w:szCs w:val="24"/>
        </w:rPr>
        <w:t xml:space="preserve"> gern:</w:t>
      </w:r>
    </w:p>
    <w:p w14:paraId="4904D016" w14:textId="77777777" w:rsidR="00EF49D2" w:rsidRDefault="00EF49D2" w:rsidP="00EF49D2">
      <w:pPr>
        <w:pStyle w:val="KeinLeerraum"/>
        <w:jc w:val="both"/>
        <w:rPr>
          <w:rFonts w:ascii="Arial" w:hAnsi="Arial" w:cs="Arial"/>
          <w:sz w:val="24"/>
          <w:szCs w:val="24"/>
        </w:rPr>
      </w:pPr>
    </w:p>
    <w:p w14:paraId="686697F8" w14:textId="77777777" w:rsidR="00EF49D2" w:rsidRDefault="00EF49D2" w:rsidP="00EF49D2">
      <w:pPr>
        <w:pStyle w:val="KeinLeerraum"/>
        <w:jc w:val="both"/>
        <w:rPr>
          <w:rFonts w:ascii="Arial" w:hAnsi="Arial" w:cs="Arial"/>
          <w:sz w:val="24"/>
          <w:szCs w:val="24"/>
        </w:rPr>
      </w:pPr>
      <w:r w:rsidRPr="00EF49D2">
        <w:rPr>
          <w:rFonts w:ascii="Arial" w:hAnsi="Arial" w:cs="Arial"/>
          <w:b/>
          <w:bCs/>
          <w:sz w:val="24"/>
          <w:szCs w:val="24"/>
        </w:rPr>
        <w:t>Frank Steffens</w:t>
      </w:r>
    </w:p>
    <w:p w14:paraId="3F355B2A" w14:textId="19919406" w:rsidR="00EF49D2" w:rsidRDefault="00EF49D2" w:rsidP="00EF49D2">
      <w:pPr>
        <w:pStyle w:val="KeinLeerraum"/>
        <w:jc w:val="both"/>
        <w:rPr>
          <w:rFonts w:ascii="Arial" w:hAnsi="Arial" w:cs="Arial"/>
          <w:sz w:val="24"/>
          <w:szCs w:val="24"/>
        </w:rPr>
      </w:pPr>
      <w:r>
        <w:rPr>
          <w:rFonts w:ascii="Arial" w:hAnsi="Arial" w:cs="Arial"/>
          <w:sz w:val="24"/>
          <w:szCs w:val="24"/>
        </w:rPr>
        <w:t>CEO Brüninghoff Group</w:t>
      </w:r>
    </w:p>
    <w:p w14:paraId="42E102F9" w14:textId="00E85E1D" w:rsidR="00EF49D2" w:rsidRDefault="00EF49D2" w:rsidP="00EF49D2">
      <w:pPr>
        <w:pStyle w:val="KeinLeerraum"/>
        <w:jc w:val="both"/>
        <w:rPr>
          <w:rFonts w:ascii="Arial" w:hAnsi="Arial" w:cs="Arial"/>
          <w:sz w:val="24"/>
          <w:szCs w:val="24"/>
        </w:rPr>
      </w:pPr>
      <w:r>
        <w:rPr>
          <w:rFonts w:ascii="Arial" w:hAnsi="Arial" w:cs="Arial"/>
          <w:sz w:val="24"/>
          <w:szCs w:val="24"/>
        </w:rPr>
        <w:t>T: 02867/9739-114</w:t>
      </w:r>
    </w:p>
    <w:p w14:paraId="16048FA7" w14:textId="17E5336F" w:rsidR="00EF49D2" w:rsidRPr="00EF49D2" w:rsidRDefault="00EF49D2" w:rsidP="00383922">
      <w:pPr>
        <w:pStyle w:val="KeinLeerraum"/>
        <w:jc w:val="both"/>
        <w:rPr>
          <w:rFonts w:ascii="Arial" w:hAnsi="Arial" w:cs="Arial"/>
        </w:rPr>
      </w:pPr>
      <w:r>
        <w:rPr>
          <w:rFonts w:ascii="Arial" w:hAnsi="Arial" w:cs="Arial"/>
          <w:sz w:val="24"/>
          <w:szCs w:val="24"/>
        </w:rPr>
        <w:t>E: Steffens@brueninghoff.de</w:t>
      </w:r>
    </w:p>
    <w:sectPr w:rsidR="00EF49D2" w:rsidRPr="00EF49D2" w:rsidSect="00394077">
      <w:headerReference w:type="default" r:id="rId7"/>
      <w:headerReference w:type="first" r:id="rId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4EA47" w14:textId="77777777" w:rsidR="00600BF1" w:rsidRDefault="00600BF1" w:rsidP="00EF49D2">
      <w:pPr>
        <w:spacing w:after="0" w:line="240" w:lineRule="auto"/>
      </w:pPr>
      <w:r>
        <w:separator/>
      </w:r>
    </w:p>
  </w:endnote>
  <w:endnote w:type="continuationSeparator" w:id="0">
    <w:p w14:paraId="6C638C55" w14:textId="77777777" w:rsidR="00600BF1" w:rsidRDefault="00600BF1" w:rsidP="00EF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EF4E4" w14:textId="77777777" w:rsidR="00600BF1" w:rsidRDefault="00600BF1" w:rsidP="00EF49D2">
      <w:pPr>
        <w:spacing w:after="0" w:line="240" w:lineRule="auto"/>
      </w:pPr>
      <w:r>
        <w:separator/>
      </w:r>
    </w:p>
  </w:footnote>
  <w:footnote w:type="continuationSeparator" w:id="0">
    <w:p w14:paraId="61C25CC4" w14:textId="77777777" w:rsidR="00600BF1" w:rsidRDefault="00600BF1" w:rsidP="00EF4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B532" w14:textId="12EDE36B" w:rsidR="00EF49D2" w:rsidRDefault="00EF49D2" w:rsidP="00EF49D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2738" w14:textId="4B3A2928" w:rsidR="00394077" w:rsidRDefault="00394077">
    <w:pPr>
      <w:pStyle w:val="Kopfzeile"/>
    </w:pPr>
    <w:r w:rsidRPr="0041530E">
      <w:rPr>
        <w:noProof/>
      </w:rPr>
      <w:drawing>
        <wp:anchor distT="0" distB="0" distL="114300" distR="114300" simplePos="0" relativeHeight="251659264" behindDoc="0" locked="0" layoutInCell="1" allowOverlap="1" wp14:anchorId="1149C098" wp14:editId="556E519F">
          <wp:simplePos x="0" y="0"/>
          <wp:positionH relativeFrom="column">
            <wp:posOffset>5466715</wp:posOffset>
          </wp:positionH>
          <wp:positionV relativeFrom="paragraph">
            <wp:posOffset>1851025</wp:posOffset>
          </wp:positionV>
          <wp:extent cx="138430" cy="135890"/>
          <wp:effectExtent l="0" t="0" r="0" b="0"/>
          <wp:wrapNone/>
          <wp:docPr id="1840401334" name="Grafik 1" descr="Ein Bild, das weiß, Design, Werkzeug enthält.&#10;&#10;KI-generierte Inhalte können fehlerhaft sei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01334" name="Grafik 1" descr="Ein Bild, das weiß, Design, Werkzeug enthält.&#10;&#10;KI-generierte Inhalte können fehlerhaft sein.">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430" cy="135890"/>
                  </a:xfrm>
                  <a:prstGeom prst="rect">
                    <a:avLst/>
                  </a:prstGeom>
                </pic:spPr>
              </pic:pic>
            </a:graphicData>
          </a:graphic>
          <wp14:sizeRelH relativeFrom="margin">
            <wp14:pctWidth>0</wp14:pctWidth>
          </wp14:sizeRelH>
          <wp14:sizeRelV relativeFrom="margin">
            <wp14:pctHeight>0</wp14:pctHeight>
          </wp14:sizeRelV>
        </wp:anchor>
      </w:drawing>
    </w:r>
    <w:r w:rsidRPr="0041530E">
      <w:rPr>
        <w:noProof/>
      </w:rPr>
      <w:drawing>
        <wp:anchor distT="0" distB="0" distL="114300" distR="114300" simplePos="0" relativeHeight="251660288" behindDoc="0" locked="0" layoutInCell="1" allowOverlap="1" wp14:anchorId="043E28C4" wp14:editId="5FAE9F2C">
          <wp:simplePos x="0" y="0"/>
          <wp:positionH relativeFrom="column">
            <wp:posOffset>5628005</wp:posOffset>
          </wp:positionH>
          <wp:positionV relativeFrom="paragraph">
            <wp:posOffset>1858645</wp:posOffset>
          </wp:positionV>
          <wp:extent cx="133350" cy="128270"/>
          <wp:effectExtent l="0" t="0" r="0" b="5080"/>
          <wp:wrapNone/>
          <wp:docPr id="1576860383" name="Grafik 1" descr="Ein Bild, das Symbol, Logo, weiß, Design enthält.&#10;&#10;KI-generierte Inhalte können fehlerhaft se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0383" name="Grafik 1" descr="Ein Bild, das Symbol, Logo, weiß, Design enthält.&#10;&#10;KI-generierte Inhalte können fehlerhaft sein.">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3350" cy="128270"/>
                  </a:xfrm>
                  <a:prstGeom prst="rect">
                    <a:avLst/>
                  </a:prstGeom>
                </pic:spPr>
              </pic:pic>
            </a:graphicData>
          </a:graphic>
          <wp14:sizeRelH relativeFrom="margin">
            <wp14:pctWidth>0</wp14:pctWidth>
          </wp14:sizeRelH>
          <wp14:sizeRelV relativeFrom="margin">
            <wp14:pctHeight>0</wp14:pctHeight>
          </wp14:sizeRelV>
        </wp:anchor>
      </w:drawing>
    </w:r>
    <w:r w:rsidRPr="0041530E">
      <w:rPr>
        <w:noProof/>
      </w:rPr>
      <w:drawing>
        <wp:anchor distT="0" distB="0" distL="114300" distR="114300" simplePos="0" relativeHeight="251661312" behindDoc="0" locked="0" layoutInCell="1" allowOverlap="1" wp14:anchorId="491D4F1F" wp14:editId="047146EF">
          <wp:simplePos x="0" y="0"/>
          <wp:positionH relativeFrom="column">
            <wp:posOffset>5785485</wp:posOffset>
          </wp:positionH>
          <wp:positionV relativeFrom="paragraph">
            <wp:posOffset>1863725</wp:posOffset>
          </wp:positionV>
          <wp:extent cx="120650" cy="120650"/>
          <wp:effectExtent l="0" t="0" r="0" b="0"/>
          <wp:wrapNone/>
          <wp:docPr id="1602869818" name="Grafik 1" descr="Ein Bild, das weiß, Design, Pfannenwender enthält.&#10;&#10;KI-generierte Inhalte können fehlerhaft sei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69818" name="Grafik 1" descr="Ein Bild, das weiß, Design, Pfannenwender enthält.&#10;&#10;KI-generierte Inhalte können fehlerhaft sein.">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650" cy="120650"/>
                  </a:xfrm>
                  <a:prstGeom prst="rect">
                    <a:avLst/>
                  </a:prstGeom>
                </pic:spPr>
              </pic:pic>
            </a:graphicData>
          </a:graphic>
          <wp14:sizeRelH relativeFrom="margin">
            <wp14:pctWidth>0</wp14:pctWidth>
          </wp14:sizeRelH>
          <wp14:sizeRelV relativeFrom="margin">
            <wp14:pctHeight>0</wp14:pctHeight>
          </wp14:sizeRelV>
        </wp:anchor>
      </w:drawing>
    </w:r>
    <w:r w:rsidRPr="00FF30F6">
      <w:rPr>
        <w:noProof/>
      </w:rPr>
      <w:drawing>
        <wp:anchor distT="0" distB="0" distL="114300" distR="114300" simplePos="0" relativeHeight="251662336" behindDoc="0" locked="0" layoutInCell="1" allowOverlap="1" wp14:anchorId="08BAFD2B" wp14:editId="088F12E5">
          <wp:simplePos x="0" y="0"/>
          <wp:positionH relativeFrom="column">
            <wp:posOffset>0</wp:posOffset>
          </wp:positionH>
          <wp:positionV relativeFrom="paragraph">
            <wp:posOffset>-635</wp:posOffset>
          </wp:positionV>
          <wp:extent cx="6172200" cy="1832610"/>
          <wp:effectExtent l="0" t="0" r="0" b="0"/>
          <wp:wrapNone/>
          <wp:docPr id="1611921248" name="Grafik 1" descr="Ein Bild, das Text, Schrif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1248" name="Grafik 1" descr="Ein Bild, das Text, Schrift, Screenshot, Design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6172200" cy="1832610"/>
                  </a:xfrm>
                  <a:prstGeom prst="rect">
                    <a:avLst/>
                  </a:prstGeom>
                </pic:spPr>
              </pic:pic>
            </a:graphicData>
          </a:graphic>
          <wp14:sizeRelH relativeFrom="margin">
            <wp14:pctWidth>0</wp14:pctWidth>
          </wp14:sizeRelH>
          <wp14:sizeRelV relativeFrom="margin">
            <wp14:pctHeight>0</wp14:pctHeight>
          </wp14:sizeRelV>
        </wp:anchor>
      </w:drawing>
    </w:r>
    <w:r w:rsidRPr="0041530E">
      <w:rPr>
        <w:noProof/>
      </w:rPr>
      <w:drawing>
        <wp:anchor distT="0" distB="0" distL="114300" distR="114300" simplePos="0" relativeHeight="251663360" behindDoc="0" locked="0" layoutInCell="1" allowOverlap="1" wp14:anchorId="73D49E79" wp14:editId="3ED08C81">
          <wp:simplePos x="0" y="0"/>
          <wp:positionH relativeFrom="column">
            <wp:posOffset>5930900</wp:posOffset>
          </wp:positionH>
          <wp:positionV relativeFrom="paragraph">
            <wp:posOffset>1862455</wp:posOffset>
          </wp:positionV>
          <wp:extent cx="172085" cy="123190"/>
          <wp:effectExtent l="0" t="0" r="0" b="0"/>
          <wp:wrapNone/>
          <wp:docPr id="1213359948" name="Grafik 1" descr="Ein Bild, das Logo, weiß, Symbol, Design enthält.&#10;&#10;KI-generierte Inhalte können fehlerhaft sei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9948" name="Grafik 1" descr="Ein Bild, das Logo, weiß, Symbol, Design enthält.&#10;&#10;KI-generierte Inhalte können fehlerhaft sein.">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85" cy="12319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D2"/>
    <w:rsid w:val="000E4B72"/>
    <w:rsid w:val="000E71F2"/>
    <w:rsid w:val="0012211A"/>
    <w:rsid w:val="0015562B"/>
    <w:rsid w:val="00253B99"/>
    <w:rsid w:val="002D5B52"/>
    <w:rsid w:val="003534CC"/>
    <w:rsid w:val="00383922"/>
    <w:rsid w:val="00394077"/>
    <w:rsid w:val="005405E7"/>
    <w:rsid w:val="005D70C0"/>
    <w:rsid w:val="00600BF1"/>
    <w:rsid w:val="006235E1"/>
    <w:rsid w:val="007F53AB"/>
    <w:rsid w:val="008242FB"/>
    <w:rsid w:val="00886A81"/>
    <w:rsid w:val="008D5BD0"/>
    <w:rsid w:val="00997EE1"/>
    <w:rsid w:val="009F1490"/>
    <w:rsid w:val="00A500E8"/>
    <w:rsid w:val="00AD00A6"/>
    <w:rsid w:val="00BB58CA"/>
    <w:rsid w:val="00BD4196"/>
    <w:rsid w:val="00BD570A"/>
    <w:rsid w:val="00CB080E"/>
    <w:rsid w:val="00D83D1B"/>
    <w:rsid w:val="00E03E86"/>
    <w:rsid w:val="00E07268"/>
    <w:rsid w:val="00E26D8F"/>
    <w:rsid w:val="00E53D2F"/>
    <w:rsid w:val="00E81A19"/>
    <w:rsid w:val="00EF49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D800"/>
  <w15:chartTrackingRefBased/>
  <w15:docId w15:val="{59BFEA76-82EC-4465-9615-9DEEA853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F49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F49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F49D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F49D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F49D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F49D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F49D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F49D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F49D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F49D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F49D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F49D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F49D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F49D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F49D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F49D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F49D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F49D2"/>
    <w:rPr>
      <w:rFonts w:eastAsiaTheme="majorEastAsia" w:cstheme="majorBidi"/>
      <w:color w:val="272727" w:themeColor="text1" w:themeTint="D8"/>
    </w:rPr>
  </w:style>
  <w:style w:type="paragraph" w:styleId="Titel">
    <w:name w:val="Title"/>
    <w:basedOn w:val="Standard"/>
    <w:next w:val="Standard"/>
    <w:link w:val="TitelZchn"/>
    <w:uiPriority w:val="10"/>
    <w:qFormat/>
    <w:rsid w:val="00EF49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F49D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F49D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F49D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F49D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F49D2"/>
    <w:rPr>
      <w:i/>
      <w:iCs/>
      <w:color w:val="404040" w:themeColor="text1" w:themeTint="BF"/>
    </w:rPr>
  </w:style>
  <w:style w:type="paragraph" w:styleId="Listenabsatz">
    <w:name w:val="List Paragraph"/>
    <w:basedOn w:val="Standard"/>
    <w:uiPriority w:val="34"/>
    <w:qFormat/>
    <w:rsid w:val="00EF49D2"/>
    <w:pPr>
      <w:ind w:left="720"/>
      <w:contextualSpacing/>
    </w:pPr>
  </w:style>
  <w:style w:type="character" w:styleId="IntensiveHervorhebung">
    <w:name w:val="Intense Emphasis"/>
    <w:basedOn w:val="Absatz-Standardschriftart"/>
    <w:uiPriority w:val="21"/>
    <w:qFormat/>
    <w:rsid w:val="00EF49D2"/>
    <w:rPr>
      <w:i/>
      <w:iCs/>
      <w:color w:val="0F4761" w:themeColor="accent1" w:themeShade="BF"/>
    </w:rPr>
  </w:style>
  <w:style w:type="paragraph" w:styleId="IntensivesZitat">
    <w:name w:val="Intense Quote"/>
    <w:basedOn w:val="Standard"/>
    <w:next w:val="Standard"/>
    <w:link w:val="IntensivesZitatZchn"/>
    <w:uiPriority w:val="30"/>
    <w:qFormat/>
    <w:rsid w:val="00EF49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F49D2"/>
    <w:rPr>
      <w:i/>
      <w:iCs/>
      <w:color w:val="0F4761" w:themeColor="accent1" w:themeShade="BF"/>
    </w:rPr>
  </w:style>
  <w:style w:type="character" w:styleId="IntensiverVerweis">
    <w:name w:val="Intense Reference"/>
    <w:basedOn w:val="Absatz-Standardschriftart"/>
    <w:uiPriority w:val="32"/>
    <w:qFormat/>
    <w:rsid w:val="00EF49D2"/>
    <w:rPr>
      <w:b/>
      <w:bCs/>
      <w:smallCaps/>
      <w:color w:val="0F4761" w:themeColor="accent1" w:themeShade="BF"/>
      <w:spacing w:val="5"/>
    </w:rPr>
  </w:style>
  <w:style w:type="paragraph" w:styleId="Kopfzeile">
    <w:name w:val="header"/>
    <w:basedOn w:val="Standard"/>
    <w:link w:val="KopfzeileZchn"/>
    <w:uiPriority w:val="99"/>
    <w:unhideWhenUsed/>
    <w:rsid w:val="00EF49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49D2"/>
  </w:style>
  <w:style w:type="paragraph" w:styleId="Fuzeile">
    <w:name w:val="footer"/>
    <w:basedOn w:val="Standard"/>
    <w:link w:val="FuzeileZchn"/>
    <w:uiPriority w:val="99"/>
    <w:unhideWhenUsed/>
    <w:rsid w:val="00EF49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49D2"/>
  </w:style>
  <w:style w:type="paragraph" w:styleId="KeinLeerraum">
    <w:name w:val="No Spacing"/>
    <w:uiPriority w:val="1"/>
    <w:qFormat/>
    <w:rsid w:val="00EF49D2"/>
    <w:pPr>
      <w:spacing w:after="0" w:line="240" w:lineRule="auto"/>
    </w:pPr>
  </w:style>
  <w:style w:type="table" w:styleId="Tabellenraster">
    <w:name w:val="Table Grid"/>
    <w:basedOn w:val="NormaleTabelle"/>
    <w:uiPriority w:val="39"/>
    <w:rsid w:val="00EF4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E4B72"/>
    <w:pPr>
      <w:spacing w:after="0" w:line="240" w:lineRule="auto"/>
    </w:pPr>
  </w:style>
  <w:style w:type="character" w:styleId="Hyperlink">
    <w:name w:val="Hyperlink"/>
    <w:basedOn w:val="Absatz-Standardschriftart"/>
    <w:uiPriority w:val="99"/>
    <w:unhideWhenUsed/>
    <w:rsid w:val="00AD00A6"/>
    <w:rPr>
      <w:color w:val="467886" w:themeColor="hyperlink"/>
      <w:u w:val="single"/>
    </w:rPr>
  </w:style>
  <w:style w:type="character" w:styleId="NichtaufgelsteErwhnung">
    <w:name w:val="Unresolved Mention"/>
    <w:basedOn w:val="Absatz-Standardschriftart"/>
    <w:uiPriority w:val="99"/>
    <w:semiHidden/>
    <w:unhideWhenUsed/>
    <w:rsid w:val="00AD0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hyperlink" Target="https://www.youtube.com/user/Brueninghoff" TargetMode="External"/><Relationship Id="rId3" Type="http://schemas.openxmlformats.org/officeDocument/2006/relationships/hyperlink" Target="https://www.facebook.com/brueninghoffgroup/?locale=de_DE"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hyperlink" Target="https://www.instagram.com/brueninghoff_group/" TargetMode="External"/><Relationship Id="rId6" Type="http://schemas.openxmlformats.org/officeDocument/2006/relationships/image" Target="media/image4.png"/><Relationship Id="rId5" Type="http://schemas.openxmlformats.org/officeDocument/2006/relationships/hyperlink" Target="https://de.linkedin.com/company/brueninghoffgroup" TargetMode="External"/><Relationship Id="rId4" Type="http://schemas.openxmlformats.org/officeDocument/2006/relationships/image" Target="media/image3.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3065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Assja Terseglav</dc:creator>
  <cp:keywords/>
  <dc:description/>
  <cp:lastModifiedBy>Assja Terseglav</cp:lastModifiedBy>
  <cp:revision>2</cp:revision>
  <dcterms:created xsi:type="dcterms:W3CDTF">2026-07-16T09:41:00Z</dcterms:created>
  <dcterms:modified xsi:type="dcterms:W3CDTF">2026-07-16T09:41:00Z</dcterms:modified>
</cp:coreProperties>
</file>